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320" w:line="276" w:lineRule="auto"/>
      </w:pPr>
      <w:r>
        <w:rPr>
          <w:rFonts w:ascii="Calibri" w:hAnsi="Calibri"/>
          <w:b/>
          <w:i w:val="0"/>
          <w:color w:val="087F78"/>
          <w:sz w:val="18"/>
        </w:rPr>
        <w:t>PRIVATE INVESTOR DOCUMENT</w:t>
      </w:r>
    </w:p>
    <w:p>
      <w:pPr>
        <w:spacing w:after="320"/>
      </w:pPr>
      <w:r>
        <w:drawing>
          <wp:inline xmlns:a="http://schemas.openxmlformats.org/drawingml/2006/main" xmlns:pic="http://schemas.openxmlformats.org/drawingml/2006/picture">
            <wp:extent cx="749808" cy="749808"/>
            <wp:docPr id="1" name="Picture 1" descr="CriptoSalud coin logo" title="CriptoSalud"/>
            <wp:cNvGraphicFramePr>
              <a:graphicFrameLocks noChangeAspect="1"/>
            </wp:cNvGraphicFramePr>
            <a:graphic>
              <a:graphicData uri="http://schemas.openxmlformats.org/drawingml/2006/picture">
                <pic:pic>
                  <pic:nvPicPr>
                    <pic:cNvPr id="0" name="criptosalud-coin.png"/>
                    <pic:cNvPicPr/>
                  </pic:nvPicPr>
                  <pic:blipFill>
                    <a:blip r:embed="rId11"/>
                    <a:stretch>
                      <a:fillRect/>
                    </a:stretch>
                  </pic:blipFill>
                  <pic:spPr>
                    <a:xfrm>
                      <a:off x="0" y="0"/>
                      <a:ext cx="749808" cy="749808"/>
                    </a:xfrm>
                    <a:prstGeom prst="rect"/>
                  </pic:spPr>
                </pic:pic>
              </a:graphicData>
            </a:graphic>
          </wp:inline>
        </w:drawing>
      </w:r>
    </w:p>
    <w:p>
      <w:pPr>
        <w:spacing w:after="160"/>
      </w:pPr>
      <w:r>
        <w:rPr>
          <w:rFonts w:ascii="Calibri" w:hAnsi="Calibri"/>
          <w:b/>
          <w:i w:val="0"/>
          <w:color w:val="071B2B"/>
          <w:sz w:val="54"/>
        </w:rPr>
        <w:t>CriptoSalud Investor Rights</w:t>
      </w:r>
    </w:p>
    <w:p>
      <w:pPr>
        <w:spacing w:after="300"/>
      </w:pPr>
      <w:r>
        <w:rPr>
          <w:rFonts w:ascii="Calibri" w:hAnsi="Calibri"/>
          <w:b/>
          <w:i w:val="0"/>
          <w:color w:val="071B2B"/>
          <w:sz w:val="54"/>
        </w:rPr>
        <w:t>and Token Allocation Framework</w:t>
      </w:r>
    </w:p>
    <w:p>
      <w:pPr>
        <w:spacing w:before="0" w:after="560" w:line="276" w:lineRule="auto"/>
      </w:pPr>
      <w:r>
        <w:rPr>
          <w:rFonts w:ascii="Calibri" w:hAnsi="Calibri"/>
          <w:b/>
          <w:i w:val="0"/>
          <w:color w:val="087F78"/>
          <w:sz w:val="28"/>
        </w:rPr>
        <w:t>Marco de derechos del inversionista y asignación de tokens</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STATUS / ESTADO: </w:t>
      </w:r>
      <w:r>
        <w:rPr>
          <w:rFonts w:ascii="Calibri" w:hAnsi="Calibri"/>
          <w:b w:val="0"/>
          <w:i w:val="0"/>
          <w:color w:val="263D49"/>
          <w:sz w:val="21"/>
        </w:rPr>
        <w:t>Version 1.0 - Non-binding discussion draft - Subject to independent legal, tax and regulatory review.</w:t>
      </w:r>
    </w:p>
    <w:p>
      <w:pPr>
        <w:spacing w:before="0" w:after="520" w:line="276" w:lineRule="auto"/>
      </w:pPr>
      <w:r>
        <w:rPr>
          <w:rFonts w:ascii="Calibri" w:hAnsi="Calibri"/>
          <w:b w:val="0"/>
          <w:i w:val="0"/>
          <w:color w:val="617984"/>
          <w:sz w:val="21"/>
        </w:rPr>
        <w:t>Costa Rica  |  24 July 2026</w:t>
      </w:r>
    </w:p>
    <w:p>
      <w:pPr>
        <w:pStyle w:val="Heading2"/>
        <w:keepNext/>
      </w:pPr>
      <w:r>
        <w:t>Document purpose / Propósito</w:t>
      </w:r>
    </w:p>
    <w:p>
      <w:pPr>
        <w:spacing w:before="0" w:after="180" w:line="276" w:lineRule="auto"/>
      </w:pPr>
      <w:r>
        <w:rPr>
          <w:rFonts w:ascii="Calibri" w:hAnsi="Calibri"/>
          <w:b w:val="0"/>
          <w:i w:val="0"/>
          <w:color w:val="263D49"/>
          <w:sz w:val="22"/>
        </w:rPr>
        <w:t>A bilingual diligence framework for proposed private-investor rights, treasury controls, the 100,000,000 SALUD planning allocation and a possible future token warrant. This is not a contract for signature.</w:t>
      </w:r>
    </w:p>
    <w:p>
      <w:pPr>
        <w:spacing w:before="0" w:after="360" w:line="276" w:lineRule="auto"/>
      </w:pPr>
      <w:r>
        <w:rPr>
          <w:rFonts w:ascii="Calibri" w:hAnsi="Calibri"/>
          <w:b w:val="0"/>
          <w:i/>
          <w:color w:val="617984"/>
          <w:sz w:val="22"/>
        </w:rPr>
        <w:t>Marco bilingüe de debida diligencia sobre derechos propuestos, controles de tesorería, la asignación planificada de 100.000.000 SALUD y un posible token warrant futuro. No es un contrato para firma.</w:t>
      </w:r>
    </w:p>
    <w:p>
      <w:pPr>
        <w:pStyle w:val="Heading2"/>
        <w:keepNext/>
      </w:pPr>
      <w:r>
        <w:t>Contents / Contenido</w:t>
      </w:r>
    </w:p>
    <w:p>
      <w:pPr>
        <w:spacing w:after="80" w:line="300" w:lineRule="auto"/>
        <w:numPr>
          <w:ilvl w:val="0"/>
          <w:numId w:val="10"/>
        </w:numPr>
      </w:pPr>
      <w:r>
        <w:rPr>
          <w:rFonts w:ascii="Calibri" w:hAnsi="Calibri"/>
          <w:b w:val="0"/>
          <w:i w:val="0"/>
          <w:color w:val="263D49"/>
          <w:sz w:val="21"/>
        </w:rPr>
        <w:t>English framework - transaction, rights, token policy, controls, risks and definitive-agreement checklist</w:t>
      </w:r>
    </w:p>
    <w:p>
      <w:pPr>
        <w:spacing w:after="80" w:line="300" w:lineRule="auto"/>
        <w:numPr>
          <w:ilvl w:val="0"/>
          <w:numId w:val="10"/>
        </w:numPr>
      </w:pPr>
      <w:r>
        <w:rPr>
          <w:rFonts w:ascii="Calibri" w:hAnsi="Calibri"/>
          <w:b w:val="0"/>
          <w:i w:val="0"/>
          <w:color w:val="263D49"/>
          <w:sz w:val="21"/>
        </w:rPr>
        <w:t>Marco en español - transacción, derechos, política del token, controles, riesgos y lista contractual</w:t>
      </w:r>
    </w:p>
    <w:p>
      <w:r>
        <w:br w:type="page"/>
      </w:r>
    </w:p>
    <w:p>
      <w:pPr>
        <w:pStyle w:val="Heading1"/>
        <w:keepNext/>
      </w:pPr>
      <w:r>
        <w:t>English framework</w:t>
      </w:r>
    </w:p>
    <w:p>
      <w:pPr>
        <w:spacing w:before="0" w:after="160" w:line="276" w:lineRule="auto"/>
      </w:pPr>
      <w:r>
        <w:rPr>
          <w:rFonts w:ascii="Calibri" w:hAnsi="Calibri"/>
          <w:b w:val="0"/>
          <w:i w:val="0"/>
          <w:color w:val="263D49"/>
          <w:sz w:val="22"/>
        </w:rPr>
        <w:t>This framework summarizes the contractual protections and token-allocation principles CriptoSalud proposes to discuss with eligible private investors. It is designed to make diligence concrete while definitive agreements are prepared.</w:t>
      </w:r>
    </w:p>
    <w:p>
      <w:pPr>
        <w:spacing w:before="140" w:after="200" w:line="276" w:lineRule="auto"/>
        <w:ind w:left="216" w:right="115"/>
        <w:shd w:fill="FFF4DE"/>
        <w:pBdr>
          <w:left w:val="single" w:sz="18" w:space="12" w:color="9B6B18"/>
        </w:pBdr>
      </w:pPr>
      <w:r>
        <w:rPr>
          <w:rFonts w:ascii="Calibri" w:hAnsi="Calibri"/>
          <w:b/>
          <w:i w:val="0"/>
          <w:color w:val="263D49"/>
          <w:sz w:val="21"/>
        </w:rPr>
        <w:t xml:space="preserve">Important: </w:t>
      </w:r>
      <w:r>
        <w:rPr>
          <w:rFonts w:ascii="Calibri" w:hAnsi="Calibri"/>
          <w:b w:val="0"/>
          <w:i w:val="0"/>
          <w:color w:val="263D49"/>
          <w:sz w:val="21"/>
        </w:rPr>
        <w:t>NON-BINDING DISCUSSION DRAFT. This document is not a prospectus, public offer, token sale, legal opinion or promise of returns. No person acquires rights until the proper entity and eligible investor execute definitive agreements reviewed by independent counsel.</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Official SALUD mint: </w:t>
      </w:r>
      <w:r>
        <w:rPr>
          <w:rFonts w:ascii="Calibri" w:hAnsi="Calibri"/>
          <w:b w:val="0"/>
          <w:i w:val="0"/>
          <w:color w:val="263D49"/>
          <w:sz w:val="21"/>
        </w:rPr>
        <w:t>68bmLVr8MAycxX39VcEKsgpmVKCP5qBYGoQX6DWXn15V (Solana mainnet). Verify from the official website before relying on any address.</w:t>
      </w:r>
    </w:p>
    <w:p>
      <w:pPr>
        <w:pStyle w:val="Heading2"/>
        <w:keepNext/>
      </w:pPr>
      <w:r>
        <w:t>1. Transaction structure</w:t>
      </w:r>
    </w:p>
    <w:p>
      <w:pPr>
        <w:spacing w:after="100" w:line="276" w:lineRule="auto"/>
      </w:pPr>
      <w:r>
        <w:rPr>
          <w:rFonts w:ascii="Calibri" w:hAnsi="Calibri"/>
          <w:b/>
          <w:i w:val="0"/>
          <w:color w:val="087F78"/>
          <w:sz w:val="21"/>
        </w:rPr>
        <w:t xml:space="preserve">Issuer. </w:t>
      </w:r>
      <w:r>
        <w:rPr>
          <w:rFonts w:ascii="Calibri" w:hAnsi="Calibri"/>
          <w:b w:val="0"/>
          <w:i w:val="0"/>
          <w:color w:val="263D49"/>
          <w:sz w:val="21"/>
        </w:rPr>
        <w:t>The operating or holding company to be identified in the definitive agreement after corporate and tax review.</w:t>
      </w:r>
    </w:p>
    <w:p>
      <w:pPr>
        <w:spacing w:after="100" w:line="276" w:lineRule="auto"/>
      </w:pPr>
      <w:r>
        <w:rPr>
          <w:rFonts w:ascii="Calibri" w:hAnsi="Calibri"/>
          <w:b/>
          <w:i w:val="0"/>
          <w:color w:val="087F78"/>
          <w:sz w:val="21"/>
        </w:rPr>
        <w:t xml:space="preserve">Investor. </w:t>
      </w:r>
      <w:r>
        <w:rPr>
          <w:rFonts w:ascii="Calibri" w:hAnsi="Calibri"/>
          <w:b w:val="0"/>
          <w:i w:val="0"/>
          <w:color w:val="263D49"/>
          <w:sz w:val="21"/>
        </w:rPr>
        <w:t>A person or entity that passes eligibility, KYC/AML, sanctions screening and source-of-funds review.</w:t>
      </w:r>
    </w:p>
    <w:p>
      <w:pPr>
        <w:spacing w:after="100" w:line="276" w:lineRule="auto"/>
      </w:pPr>
      <w:r>
        <w:rPr>
          <w:rFonts w:ascii="Calibri" w:hAnsi="Calibri"/>
          <w:b/>
          <w:i w:val="0"/>
          <w:color w:val="087F78"/>
          <w:sz w:val="21"/>
        </w:rPr>
        <w:t xml:space="preserve">Instrument. </w:t>
      </w:r>
      <w:r>
        <w:rPr>
          <w:rFonts w:ascii="Calibri" w:hAnsi="Calibri"/>
          <w:b w:val="0"/>
          <w:i w:val="0"/>
          <w:color w:val="263D49"/>
          <w:sz w:val="21"/>
        </w:rPr>
        <w:t>Equity, a convertible instrument or another lawful private instrument selected by counsel. SALUD is not automatically equity.</w:t>
      </w:r>
    </w:p>
    <w:p>
      <w:pPr>
        <w:spacing w:after="100" w:line="276" w:lineRule="auto"/>
      </w:pPr>
      <w:r>
        <w:rPr>
          <w:rFonts w:ascii="Calibri" w:hAnsi="Calibri"/>
          <w:b/>
          <w:i w:val="0"/>
          <w:color w:val="087F78"/>
          <w:sz w:val="21"/>
        </w:rPr>
        <w:t xml:space="preserve">Closing. </w:t>
      </w:r>
      <w:r>
        <w:rPr>
          <w:rFonts w:ascii="Calibri" w:hAnsi="Calibri"/>
          <w:b w:val="0"/>
          <w:i w:val="0"/>
          <w:color w:val="263D49"/>
          <w:sz w:val="21"/>
        </w:rPr>
        <w:t>Funds are accepted only after signed documents and written funding instructions. No seed phrase or private key is ever requested.</w:t>
      </w:r>
    </w:p>
    <w:p>
      <w:pPr>
        <w:pStyle w:val="Heading2"/>
        <w:keepNext/>
      </w:pPr>
      <w:r>
        <w:t>2. Proposed investor rights</w:t>
      </w:r>
    </w:p>
    <w:p>
      <w:pPr>
        <w:spacing w:after="80" w:line="300" w:lineRule="auto"/>
        <w:numPr>
          <w:ilvl w:val="0"/>
          <w:numId w:val="10"/>
        </w:numPr>
      </w:pPr>
      <w:r>
        <w:rPr>
          <w:rFonts w:ascii="Calibri" w:hAnsi="Calibri"/>
          <w:b w:val="0"/>
          <w:i w:val="0"/>
          <w:color w:val="263D49"/>
          <w:sz w:val="21"/>
        </w:rPr>
        <w:t>Quarterly management report covering product, clinic pipeline, transaction activity, cash use and material risks.</w:t>
      </w:r>
    </w:p>
    <w:p>
      <w:pPr>
        <w:spacing w:after="80" w:line="300" w:lineRule="auto"/>
        <w:numPr>
          <w:ilvl w:val="0"/>
          <w:numId w:val="10"/>
        </w:numPr>
      </w:pPr>
      <w:r>
        <w:rPr>
          <w:rFonts w:ascii="Calibri" w:hAnsi="Calibri"/>
          <w:b w:val="0"/>
          <w:i w:val="0"/>
          <w:color w:val="263D49"/>
          <w:sz w:val="21"/>
        </w:rPr>
        <w:t>Annual operating plan and notice of material events.</w:t>
      </w:r>
    </w:p>
    <w:p>
      <w:pPr>
        <w:spacing w:after="80" w:line="300" w:lineRule="auto"/>
        <w:numPr>
          <w:ilvl w:val="0"/>
          <w:numId w:val="10"/>
        </w:numPr>
      </w:pPr>
      <w:r>
        <w:rPr>
          <w:rFonts w:ascii="Calibri" w:hAnsi="Calibri"/>
          <w:b w:val="0"/>
          <w:i w:val="0"/>
          <w:color w:val="263D49"/>
          <w:sz w:val="21"/>
        </w:rPr>
        <w:t>Pro rata participation opportunity in future equity financings, subject to negotiated thresholds and law.</w:t>
      </w:r>
    </w:p>
    <w:p>
      <w:pPr>
        <w:spacing w:after="80" w:line="300" w:lineRule="auto"/>
        <w:numPr>
          <w:ilvl w:val="0"/>
          <w:numId w:val="10"/>
        </w:numPr>
      </w:pPr>
      <w:r>
        <w:rPr>
          <w:rFonts w:ascii="Calibri" w:hAnsi="Calibri"/>
          <w:b w:val="0"/>
          <w:i w:val="0"/>
          <w:color w:val="263D49"/>
          <w:sz w:val="21"/>
        </w:rPr>
        <w:t>Negotiated protections for senior securities, sale or liquidation, related-party transactions and adverse class changes.</w:t>
      </w:r>
    </w:p>
    <w:p>
      <w:pPr>
        <w:spacing w:after="80" w:line="300" w:lineRule="auto"/>
        <w:numPr>
          <w:ilvl w:val="0"/>
          <w:numId w:val="10"/>
        </w:numPr>
      </w:pPr>
      <w:r>
        <w:rPr>
          <w:rFonts w:ascii="Calibri" w:hAnsi="Calibri"/>
          <w:b w:val="0"/>
          <w:i w:val="0"/>
          <w:color w:val="263D49"/>
          <w:sz w:val="21"/>
        </w:rPr>
        <w:t>Transfer, tag-along and liquidity-event provisions where appropriate to the selected instrument.</w:t>
      </w:r>
    </w:p>
    <w:p>
      <w:pPr>
        <w:spacing w:after="80" w:line="300" w:lineRule="auto"/>
        <w:numPr>
          <w:ilvl w:val="0"/>
          <w:numId w:val="10"/>
        </w:numPr>
      </w:pPr>
      <w:r>
        <w:rPr>
          <w:rFonts w:ascii="Calibri" w:hAnsi="Calibri"/>
          <w:b w:val="0"/>
          <w:i w:val="0"/>
          <w:color w:val="263D49"/>
          <w:sz w:val="21"/>
        </w:rPr>
        <w:t>Accurate capitalization or holder records and, if negotiated for a lead investor, structured strategic-review or observer rights.</w:t>
      </w:r>
    </w:p>
    <w:p>
      <w:pPr>
        <w:pStyle w:val="Heading2"/>
        <w:keepNext/>
      </w:pPr>
      <w:r>
        <w:t>3. SALUD token allocation policy</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Planning policy: </w:t>
      </w:r>
      <w:r>
        <w:rPr>
          <w:rFonts w:ascii="Calibri" w:hAnsi="Calibri"/>
          <w:b w:val="0"/>
          <w:i w:val="0"/>
          <w:color w:val="263D49"/>
          <w:sz w:val="21"/>
        </w:rPr>
        <w:t>The percentages below are proposed controls, not present distributions. Changes require written approval, an updated public allocation and corresponding on-chain records.</w:t>
      </w:r>
    </w:p>
    <w:tbl>
      <w:tblPr>
        <w:tblStyle w:val="TableGrid"/>
        <w:tblW w:type="dxa" w:w="9360"/>
        <w:tblLayout w:type="fixed"/>
        <w:tblLook w:firstColumn="1" w:firstRow="1" w:lastColumn="0" w:lastRow="0" w:noHBand="0" w:noVBand="1" w:val="04A0"/>
        <w:jc w:val="left"/>
        <w:tblInd w:w="120" w:type="dxa"/>
        <w:tblBorders>
          <w:top w:val="single" w:sz="6" w:color="D3E1E3"/>
          <w:left w:val="single" w:sz="6" w:color="D3E1E3"/>
          <w:bottom w:val="single" w:sz="6" w:color="D3E1E3"/>
          <w:right w:val="single" w:sz="6" w:color="D3E1E3"/>
          <w:insideH w:val="single" w:sz="6" w:color="D3E1E3"/>
          <w:insideV w:val="single" w:sz="6" w:color="D3E1E3"/>
        </w:tblBorders>
      </w:tblPr>
      <w:tblGrid>
        <w:gridCol w:w="2700"/>
        <w:gridCol w:w="1700"/>
        <w:gridCol w:w="1100"/>
        <w:gridCol w:w="3860"/>
      </w:tblGrid>
      <w:tr>
        <w:trPr>
          <w:tblHeader w:val="true"/>
        </w:trPr>
        <w:tc>
          <w:tcPr>
            <w:tcW w:type="dxa" w:w="2700"/>
            <w:tcMar>
              <w:top w:w="100" w:type="dxa"/>
              <w:start w:w="120" w:type="dxa"/>
              <w:bottom w:w="100" w:type="dxa"/>
              <w:end w:w="120" w:type="dxa"/>
            </w:tcMar>
            <w:vAlign w:val="center"/>
            <w:shd w:fill="0A3542"/>
          </w:tcPr>
          <w:p>
            <w:pPr>
              <w:jc w:val="left"/>
            </w:pPr>
            <w:r>
              <w:rPr>
                <w:rFonts w:ascii="Calibri" w:hAnsi="Calibri"/>
                <w:b/>
                <w:i w:val="0"/>
                <w:color w:val="FFFFFF"/>
                <w:sz w:val="19"/>
              </w:rPr>
              <w:t>Allocation</w:t>
            </w:r>
          </w:p>
        </w:tc>
        <w:tc>
          <w:tcPr>
            <w:tcW w:type="dxa" w:w="1700"/>
            <w:tcMar>
              <w:top w:w="100" w:type="dxa"/>
              <w:start w:w="120" w:type="dxa"/>
              <w:bottom w:w="100" w:type="dxa"/>
              <w:end w:w="120" w:type="dxa"/>
            </w:tcMar>
            <w:vAlign w:val="center"/>
            <w:shd w:fill="0A3542"/>
          </w:tcPr>
          <w:p>
            <w:pPr>
              <w:jc w:val="center"/>
            </w:pPr>
            <w:r>
              <w:rPr>
                <w:rFonts w:ascii="Calibri" w:hAnsi="Calibri"/>
                <w:b/>
                <w:i w:val="0"/>
                <w:color w:val="FFFFFF"/>
                <w:sz w:val="19"/>
              </w:rPr>
              <w:t>Tokens</w:t>
            </w:r>
          </w:p>
        </w:tc>
        <w:tc>
          <w:tcPr>
            <w:tcW w:type="dxa" w:w="1100"/>
            <w:tcMar>
              <w:top w:w="100" w:type="dxa"/>
              <w:start w:w="120" w:type="dxa"/>
              <w:bottom w:w="100" w:type="dxa"/>
              <w:end w:w="120" w:type="dxa"/>
            </w:tcMar>
            <w:vAlign w:val="center"/>
            <w:shd w:fill="0A3542"/>
          </w:tcPr>
          <w:p>
            <w:pPr>
              <w:jc w:val="center"/>
            </w:pPr>
            <w:r>
              <w:rPr>
                <w:rFonts w:ascii="Calibri" w:hAnsi="Calibri"/>
                <w:b/>
                <w:i w:val="0"/>
                <w:color w:val="FFFFFF"/>
                <w:sz w:val="19"/>
              </w:rPr>
              <w:t>Share</w:t>
            </w:r>
          </w:p>
        </w:tc>
        <w:tc>
          <w:tcPr>
            <w:tcW w:type="dxa" w:w="3860"/>
            <w:tcMar>
              <w:top w:w="100" w:type="dxa"/>
              <w:start w:w="120" w:type="dxa"/>
              <w:bottom w:w="100" w:type="dxa"/>
              <w:end w:w="120" w:type="dxa"/>
            </w:tcMar>
            <w:vAlign w:val="center"/>
            <w:shd w:fill="0A3542"/>
          </w:tcPr>
          <w:p>
            <w:pPr>
              <w:jc w:val="left"/>
            </w:pPr>
            <w:r>
              <w:rPr>
                <w:rFonts w:ascii="Calibri" w:hAnsi="Calibri"/>
                <w:b/>
                <w:i w:val="0"/>
                <w:color w:val="FFFFFF"/>
                <w:sz w:val="19"/>
              </w:rPr>
              <w:t>Proposed control</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Investor incentive pool</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12,000,000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12%</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Separate reserve; allocation only under definitive agreements.</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Clinic and patient adoption</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35,000,000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35%</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Program budgets and documented eligibility rules.</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Treasury and development</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23,000,000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23%</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Operating approvals, records and periodic reporting.</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Founder</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15,000,000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15%</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Proposed 48-month vesting with a 12-month cliff.</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Future liquidity</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10,000,000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10%</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Not deployed before legal, market and liquidity review.</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Advisors and alliances</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5,000,000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5%</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Milestone-based grants with written agreements.</w:t>
            </w:r>
          </w:p>
        </w:tc>
      </w:tr>
      <w:tr>
        <w:tc>
          <w:tcPr>
            <w:tcW w:type="dxa" w:w="2700"/>
            <w:tcMar>
              <w:top w:w="100" w:type="dxa"/>
              <w:start w:w="120" w:type="dxa"/>
              <w:bottom w:w="100" w:type="dxa"/>
              <w:end w:w="120" w:type="dxa"/>
            </w:tcMar>
            <w:vAlign w:val="center"/>
            <w:shd w:fill="EAF4F4"/>
          </w:tcPr>
          <w:p>
            <w:pPr>
              <w:spacing w:after="0" w:line="252" w:lineRule="auto"/>
              <w:jc w:val="left"/>
            </w:pPr>
            <w:r>
              <w:rPr>
                <w:rFonts w:ascii="Calibri" w:hAnsi="Calibri"/>
                <w:b/>
                <w:i w:val="0"/>
                <w:color w:val="263D49"/>
                <w:sz w:val="18"/>
              </w:rPr>
              <w:t>TOTAL</w:t>
            </w:r>
          </w:p>
        </w:tc>
        <w:tc>
          <w:tcPr>
            <w:tcW w:type="dxa" w:w="1700"/>
            <w:tcMar>
              <w:top w:w="100" w:type="dxa"/>
              <w:start w:w="120" w:type="dxa"/>
              <w:bottom w:w="100" w:type="dxa"/>
              <w:end w:w="120" w:type="dxa"/>
            </w:tcMar>
            <w:vAlign w:val="center"/>
            <w:shd w:fill="EAF4F4"/>
          </w:tcPr>
          <w:p>
            <w:pPr>
              <w:spacing w:after="0" w:line="252" w:lineRule="auto"/>
              <w:jc w:val="center"/>
            </w:pPr>
            <w:r>
              <w:rPr>
                <w:rFonts w:ascii="Calibri" w:hAnsi="Calibri"/>
                <w:b/>
                <w:i w:val="0"/>
                <w:color w:val="263D49"/>
                <w:sz w:val="18"/>
              </w:rPr>
              <w:t>100,000,000</w:t>
            </w:r>
          </w:p>
        </w:tc>
        <w:tc>
          <w:tcPr>
            <w:tcW w:type="dxa" w:w="1100"/>
            <w:tcMar>
              <w:top w:w="100" w:type="dxa"/>
              <w:start w:w="120" w:type="dxa"/>
              <w:bottom w:w="100" w:type="dxa"/>
              <w:end w:w="120" w:type="dxa"/>
            </w:tcMar>
            <w:vAlign w:val="center"/>
            <w:shd w:fill="EAF4F4"/>
          </w:tcPr>
          <w:p>
            <w:pPr>
              <w:spacing w:after="0" w:line="252" w:lineRule="auto"/>
              <w:jc w:val="center"/>
            </w:pPr>
            <w:r>
              <w:rPr>
                <w:rFonts w:ascii="Calibri" w:hAnsi="Calibri"/>
                <w:b/>
                <w:i w:val="0"/>
                <w:color w:val="263D49"/>
                <w:sz w:val="18"/>
              </w:rPr>
              <w:t>100%</w:t>
            </w:r>
          </w:p>
        </w:tc>
        <w:tc>
          <w:tcPr>
            <w:tcW w:type="dxa" w:w="3860"/>
            <w:tcMar>
              <w:top w:w="100" w:type="dxa"/>
              <w:start w:w="120" w:type="dxa"/>
              <w:bottom w:w="100" w:type="dxa"/>
              <w:end w:w="120" w:type="dxa"/>
            </w:tcMar>
            <w:vAlign w:val="center"/>
            <w:shd w:fill="EAF4F4"/>
          </w:tcPr>
          <w:p>
            <w:pPr>
              <w:spacing w:after="0" w:line="252" w:lineRule="auto"/>
              <w:jc w:val="left"/>
            </w:pPr>
            <w:r>
              <w:rPr>
                <w:rFonts w:ascii="Calibri" w:hAnsi="Calibri"/>
                <w:b/>
                <w:i w:val="0"/>
                <w:color w:val="263D49"/>
                <w:sz w:val="18"/>
              </w:rPr>
              <w:t>Fixed planning allocation; subject to legal and technical approval.</w:t>
            </w:r>
          </w:p>
        </w:tc>
      </w:tr>
    </w:tbl>
    <w:p>
      <w:pPr>
        <w:spacing w:after="0"/>
      </w:pPr>
    </w:p>
    <w:p>
      <w:pPr>
        <w:pStyle w:val="Heading2"/>
        <w:keepNext/>
      </w:pPr>
      <w:r>
        <w:t>4. Investor token warrant concept</w:t>
      </w:r>
    </w:p>
    <w:p>
      <w:pPr>
        <w:spacing w:after="80" w:line="300" w:lineRule="auto"/>
        <w:numPr>
          <w:ilvl w:val="0"/>
          <w:numId w:val="10"/>
        </w:numPr>
      </w:pPr>
      <w:r>
        <w:rPr>
          <w:rFonts w:ascii="Calibri" w:hAnsi="Calibri"/>
          <w:b w:val="0"/>
          <w:i w:val="0"/>
          <w:color w:val="263D49"/>
          <w:sz w:val="21"/>
        </w:rPr>
        <w:t>A token warrant may provide a contractual right to a future SALUD allocation; it is not an immediate public token sale.</w:t>
      </w:r>
    </w:p>
    <w:p>
      <w:pPr>
        <w:spacing w:after="80" w:line="300" w:lineRule="auto"/>
        <w:numPr>
          <w:ilvl w:val="0"/>
          <w:numId w:val="10"/>
        </w:numPr>
      </w:pPr>
      <w:r>
        <w:rPr>
          <w:rFonts w:ascii="Calibri" w:hAnsi="Calibri"/>
          <w:b w:val="0"/>
          <w:i w:val="0"/>
          <w:color w:val="263D49"/>
          <w:sz w:val="21"/>
        </w:rPr>
        <w:t>The aggregate investor incentive pool is planned at no more than 12,000,000 SALUD (12% of the current 100,000,000 supply).</w:t>
      </w:r>
    </w:p>
    <w:p>
      <w:pPr>
        <w:spacing w:after="80" w:line="300" w:lineRule="auto"/>
        <w:numPr>
          <w:ilvl w:val="0"/>
          <w:numId w:val="10"/>
        </w:numPr>
      </w:pPr>
      <w:r>
        <w:rPr>
          <w:rFonts w:ascii="Calibri" w:hAnsi="Calibri"/>
          <w:b w:val="0"/>
          <w:i w:val="0"/>
          <w:color w:val="263D49"/>
          <w:sz w:val="21"/>
        </w:rPr>
        <w:t>A participant's allocation, purchase consideration and eligibility will be stated only in the definitive agreement.</w:t>
      </w:r>
    </w:p>
    <w:p>
      <w:pPr>
        <w:spacing w:after="80" w:line="300" w:lineRule="auto"/>
        <w:numPr>
          <w:ilvl w:val="0"/>
          <w:numId w:val="10"/>
        </w:numPr>
      </w:pPr>
      <w:r>
        <w:rPr>
          <w:rFonts w:ascii="Calibri" w:hAnsi="Calibri"/>
          <w:b w:val="0"/>
          <w:i w:val="0"/>
          <w:color w:val="263D49"/>
          <w:sz w:val="21"/>
        </w:rPr>
        <w:t>Proposed release: 10% at an eligible network launch and 90% in equal monthly installments over 24 months.</w:t>
      </w:r>
    </w:p>
    <w:p>
      <w:pPr>
        <w:spacing w:after="80" w:line="300" w:lineRule="auto"/>
        <w:numPr>
          <w:ilvl w:val="0"/>
          <w:numId w:val="10"/>
        </w:numPr>
      </w:pPr>
      <w:r>
        <w:rPr>
          <w:rFonts w:ascii="Calibri" w:hAnsi="Calibri"/>
          <w:b w:val="0"/>
          <w:i w:val="0"/>
          <w:color w:val="263D49"/>
          <w:sz w:val="21"/>
        </w:rPr>
        <w:t>Release remains conditional on legal clearance, completed KYC/AML, technical review, approved utility and the launch event defined in the agreement.</w:t>
      </w:r>
    </w:p>
    <w:p>
      <w:pPr>
        <w:spacing w:after="80" w:line="300" w:lineRule="auto"/>
        <w:numPr>
          <w:ilvl w:val="0"/>
          <w:numId w:val="10"/>
        </w:numPr>
      </w:pPr>
      <w:r>
        <w:rPr>
          <w:rFonts w:ascii="Calibri" w:hAnsi="Calibri"/>
          <w:b w:val="0"/>
          <w:i w:val="0"/>
          <w:color w:val="263D49"/>
          <w:sz w:val="21"/>
        </w:rPr>
        <w:t>No exchange listing, secondary-market liquidity, price, market capitalization or return is promised.</w:t>
      </w:r>
    </w:p>
    <w:p>
      <w:pPr>
        <w:pStyle w:val="Heading2"/>
        <w:keepNext/>
      </w:pPr>
      <w:r>
        <w:t>5. Treasury and on-chain controls</w:t>
      </w:r>
    </w:p>
    <w:p>
      <w:pPr>
        <w:spacing w:after="80" w:line="300" w:lineRule="auto"/>
        <w:numPr>
          <w:ilvl w:val="0"/>
          <w:numId w:val="10"/>
        </w:numPr>
      </w:pPr>
      <w:r>
        <w:rPr>
          <w:rFonts w:ascii="Calibri" w:hAnsi="Calibri"/>
          <w:b w:val="0"/>
          <w:i w:val="0"/>
          <w:color w:val="263D49"/>
          <w:sz w:val="21"/>
        </w:rPr>
        <w:t>Customer health balances, operating funds, investor capital and token reserves remain segregated.</w:t>
      </w:r>
    </w:p>
    <w:p>
      <w:pPr>
        <w:spacing w:after="80" w:line="300" w:lineRule="auto"/>
        <w:numPr>
          <w:ilvl w:val="0"/>
          <w:numId w:val="10"/>
        </w:numPr>
      </w:pPr>
      <w:r>
        <w:rPr>
          <w:rFonts w:ascii="Calibri" w:hAnsi="Calibri"/>
          <w:b w:val="0"/>
          <w:i w:val="0"/>
          <w:color w:val="263D49"/>
          <w:sz w:val="21"/>
        </w:rPr>
        <w:t>The SALUD investor reserve should be held in a dedicated Squads treasury account and identified by a public address.</w:t>
      </w:r>
    </w:p>
    <w:p>
      <w:pPr>
        <w:spacing w:after="80" w:line="300" w:lineRule="auto"/>
        <w:numPr>
          <w:ilvl w:val="0"/>
          <w:numId w:val="10"/>
        </w:numPr>
      </w:pPr>
      <w:r>
        <w:rPr>
          <w:rFonts w:ascii="Calibri" w:hAnsi="Calibri"/>
          <w:b w:val="0"/>
          <w:i w:val="0"/>
          <w:color w:val="263D49"/>
          <w:sz w:val="21"/>
        </w:rPr>
        <w:t>Mint, reserve and vesting addresses should be linked to a public block explorer once the structure is approved.</w:t>
      </w:r>
    </w:p>
    <w:p>
      <w:pPr>
        <w:spacing w:after="80" w:line="300" w:lineRule="auto"/>
        <w:numPr>
          <w:ilvl w:val="0"/>
          <w:numId w:val="10"/>
        </w:numPr>
      </w:pPr>
      <w:r>
        <w:rPr>
          <w:rFonts w:ascii="Calibri" w:hAnsi="Calibri"/>
          <w:b w:val="0"/>
          <w:i w:val="0"/>
          <w:color w:val="263D49"/>
          <w:sz w:val="21"/>
        </w:rPr>
        <w:t>While there is one founder, operational authority should use a dedicated hardware wallet and separate treasury. Additional independent signers may be added when formal governance exists.</w:t>
      </w:r>
    </w:p>
    <w:p>
      <w:pPr>
        <w:spacing w:after="80" w:line="300" w:lineRule="auto"/>
        <w:numPr>
          <w:ilvl w:val="0"/>
          <w:numId w:val="10"/>
        </w:numPr>
      </w:pPr>
      <w:r>
        <w:rPr>
          <w:rFonts w:ascii="Calibri" w:hAnsi="Calibri"/>
          <w:b w:val="0"/>
          <w:i w:val="0"/>
          <w:color w:val="263D49"/>
          <w:sz w:val="21"/>
        </w:rPr>
        <w:t>Mint authority should not be permanently disabled until allocation, legal and technical reviews are final because disabling it is irreversible.</w:t>
      </w:r>
    </w:p>
    <w:p>
      <w:pPr>
        <w:pStyle w:val="Heading2"/>
        <w:keepNext/>
      </w:pPr>
      <w:r>
        <w:t>6. Use of investment capital</w:t>
      </w:r>
    </w:p>
    <w:p>
      <w:pPr>
        <w:spacing w:before="0" w:after="140" w:line="276" w:lineRule="auto"/>
      </w:pPr>
      <w:r>
        <w:rPr>
          <w:rFonts w:ascii="Calibri" w:hAnsi="Calibri"/>
          <w:b w:val="0"/>
          <w:i/>
          <w:color w:val="617984"/>
          <w:sz w:val="21"/>
        </w:rPr>
        <w:t>Proposed use of a US$500,000 private investment</w:t>
      </w:r>
    </w:p>
    <w:tbl>
      <w:tblPr>
        <w:tblStyle w:val="TableGrid"/>
        <w:tblW w:type="dxa" w:w="9360"/>
        <w:tblLayout w:type="fixed"/>
        <w:tblLook w:firstColumn="1" w:firstRow="1" w:lastColumn="0" w:lastRow="0" w:noHBand="0" w:noVBand="1" w:val="04A0"/>
        <w:jc w:val="left"/>
        <w:tblInd w:w="120" w:type="dxa"/>
        <w:tblBorders>
          <w:top w:val="single" w:sz="6" w:color="D3E1E3"/>
          <w:left w:val="single" w:sz="6" w:color="D3E1E3"/>
          <w:bottom w:val="single" w:sz="6" w:color="D3E1E3"/>
          <w:right w:val="single" w:sz="6" w:color="D3E1E3"/>
          <w:insideH w:val="single" w:sz="6" w:color="D3E1E3"/>
          <w:insideV w:val="single" w:sz="6" w:color="D3E1E3"/>
        </w:tblBorders>
      </w:tblPr>
      <w:tblGrid>
        <w:gridCol w:w="2600"/>
        <w:gridCol w:w="1100"/>
        <w:gridCol w:w="5660"/>
      </w:tblGrid>
      <w:tr>
        <w:trPr>
          <w:tblHeader w:val="true"/>
        </w:trPr>
        <w:tc>
          <w:tcPr>
            <w:tcW w:type="dxa" w:w="2600"/>
            <w:tcMar>
              <w:top w:w="100" w:type="dxa"/>
              <w:start w:w="120" w:type="dxa"/>
              <w:bottom w:w="100" w:type="dxa"/>
              <w:end w:w="120" w:type="dxa"/>
            </w:tcMar>
            <w:vAlign w:val="center"/>
            <w:shd w:fill="EAF4F4"/>
          </w:tcPr>
          <w:p>
            <w:pPr>
              <w:jc w:val="left"/>
            </w:pPr>
            <w:r>
              <w:rPr>
                <w:rFonts w:ascii="Calibri" w:hAnsi="Calibri"/>
                <w:b/>
                <w:i w:val="0"/>
                <w:color w:val="071B2B"/>
                <w:sz w:val="19"/>
              </w:rPr>
              <w:t>Use</w:t>
            </w:r>
          </w:p>
        </w:tc>
        <w:tc>
          <w:tcPr>
            <w:tcW w:type="dxa" w:w="1100"/>
            <w:tcMar>
              <w:top w:w="100" w:type="dxa"/>
              <w:start w:w="120" w:type="dxa"/>
              <w:bottom w:w="100" w:type="dxa"/>
              <w:end w:w="120" w:type="dxa"/>
            </w:tcMar>
            <w:vAlign w:val="center"/>
            <w:shd w:fill="EAF4F4"/>
          </w:tcPr>
          <w:p>
            <w:pPr>
              <w:jc w:val="center"/>
            </w:pPr>
            <w:r>
              <w:rPr>
                <w:rFonts w:ascii="Calibri" w:hAnsi="Calibri"/>
                <w:b/>
                <w:i w:val="0"/>
                <w:color w:val="071B2B"/>
                <w:sz w:val="19"/>
              </w:rPr>
              <w:t>Share</w:t>
            </w:r>
          </w:p>
        </w:tc>
        <w:tc>
          <w:tcPr>
            <w:tcW w:type="dxa" w:w="5660"/>
            <w:tcMar>
              <w:top w:w="100" w:type="dxa"/>
              <w:start w:w="120" w:type="dxa"/>
              <w:bottom w:w="100" w:type="dxa"/>
              <w:end w:w="120" w:type="dxa"/>
            </w:tcMar>
            <w:vAlign w:val="center"/>
            <w:shd w:fill="EAF4F4"/>
          </w:tcPr>
          <w:p>
            <w:pPr>
              <w:jc w:val="left"/>
            </w:pPr>
            <w:r>
              <w:rPr>
                <w:rFonts w:ascii="Calibri" w:hAnsi="Calibri"/>
                <w:b/>
                <w:i w:val="0"/>
                <w:color w:val="071B2B"/>
                <w:sz w:val="19"/>
              </w:rPr>
              <w:t>Purpose</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Product and technology</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32%</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MVP, provider portal, payments and operational security.</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Sales and partnerships</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20%</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Clinic, hotel, assistance-company and employer distribution.</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Legal, compliance and audit</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18%</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Corporate structure, investment documentation, KYC/AML and independent review.</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Operations and support</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17%</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Bilingual coordination, reconciliation and provider onboarding.</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Pilot marketing</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8%</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Controlled acquisition tests in the initial corridors.</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Contingency</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5%</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Approved unforeseen costs and runway protection.</w:t>
            </w:r>
          </w:p>
        </w:tc>
      </w:tr>
    </w:tbl>
    <w:p>
      <w:pPr>
        <w:pStyle w:val="Heading2"/>
        <w:keepNext/>
      </w:pPr>
      <w:r>
        <w:t>7. Reporting and data-room package</w:t>
      </w:r>
    </w:p>
    <w:p>
      <w:pPr>
        <w:spacing w:after="80" w:line="300" w:lineRule="auto"/>
        <w:numPr>
          <w:ilvl w:val="0"/>
          <w:numId w:val="10"/>
        </w:numPr>
      </w:pPr>
      <w:r>
        <w:rPr>
          <w:rFonts w:ascii="Calibri" w:hAnsi="Calibri"/>
          <w:b w:val="0"/>
          <w:i w:val="0"/>
          <w:color w:val="263D49"/>
          <w:sz w:val="21"/>
        </w:rPr>
        <w:t>Corporate formation documents and ownership records.</w:t>
      </w:r>
    </w:p>
    <w:p>
      <w:pPr>
        <w:spacing w:after="80" w:line="300" w:lineRule="auto"/>
        <w:numPr>
          <w:ilvl w:val="0"/>
          <w:numId w:val="10"/>
        </w:numPr>
      </w:pPr>
      <w:r>
        <w:rPr>
          <w:rFonts w:ascii="Calibri" w:hAnsi="Calibri"/>
          <w:b w:val="0"/>
          <w:i w:val="0"/>
          <w:color w:val="263D49"/>
          <w:sz w:val="21"/>
        </w:rPr>
        <w:t>Definitive investment agreement and any token warrant or side letter.</w:t>
      </w:r>
    </w:p>
    <w:p>
      <w:pPr>
        <w:spacing w:after="80" w:line="300" w:lineRule="auto"/>
        <w:numPr>
          <w:ilvl w:val="0"/>
          <w:numId w:val="10"/>
        </w:numPr>
      </w:pPr>
      <w:r>
        <w:rPr>
          <w:rFonts w:ascii="Calibri" w:hAnsi="Calibri"/>
          <w:b w:val="0"/>
          <w:i w:val="0"/>
          <w:color w:val="263D49"/>
          <w:sz w:val="21"/>
        </w:rPr>
        <w:t>Current financial model, use-of-funds schedule and runway assumptions.</w:t>
      </w:r>
    </w:p>
    <w:p>
      <w:pPr>
        <w:spacing w:after="80" w:line="300" w:lineRule="auto"/>
        <w:numPr>
          <w:ilvl w:val="0"/>
          <w:numId w:val="10"/>
        </w:numPr>
      </w:pPr>
      <w:r>
        <w:rPr>
          <w:rFonts w:ascii="Calibri" w:hAnsi="Calibri"/>
          <w:b w:val="0"/>
          <w:i w:val="0"/>
          <w:color w:val="263D49"/>
          <w:sz w:val="21"/>
        </w:rPr>
        <w:t>Treasury addresses, token supply evidence and material authority changes.</w:t>
      </w:r>
    </w:p>
    <w:p>
      <w:pPr>
        <w:spacing w:after="80" w:line="300" w:lineRule="auto"/>
        <w:numPr>
          <w:ilvl w:val="0"/>
          <w:numId w:val="10"/>
        </w:numPr>
      </w:pPr>
      <w:r>
        <w:rPr>
          <w:rFonts w:ascii="Calibri" w:hAnsi="Calibri"/>
          <w:b w:val="0"/>
          <w:i w:val="0"/>
          <w:color w:val="263D49"/>
          <w:sz w:val="21"/>
        </w:rPr>
        <w:t>Clinic letters of intent, payment-partner status and material commercial agreements, subject to confidentiality.</w:t>
      </w:r>
    </w:p>
    <w:p>
      <w:pPr>
        <w:spacing w:after="80" w:line="300" w:lineRule="auto"/>
        <w:numPr>
          <w:ilvl w:val="0"/>
          <w:numId w:val="10"/>
        </w:numPr>
      </w:pPr>
      <w:r>
        <w:rPr>
          <w:rFonts w:ascii="Calibri" w:hAnsi="Calibri"/>
          <w:b w:val="0"/>
          <w:i w:val="0"/>
          <w:color w:val="263D49"/>
          <w:sz w:val="21"/>
        </w:rPr>
        <w:t>Quarterly updates, incident notices and annual plan.</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Investor protection: </w:t>
      </w:r>
      <w:r>
        <w:rPr>
          <w:rFonts w:ascii="Calibri" w:hAnsi="Calibri"/>
          <w:b w:val="0"/>
          <w:i w:val="0"/>
          <w:color w:val="263D49"/>
          <w:sz w:val="21"/>
        </w:rPr>
        <w:t>The signed legal instrument - not this website or this framework - will define enforceable rights.</w:t>
      </w:r>
    </w:p>
    <w:p>
      <w:pPr>
        <w:pStyle w:val="Heading2"/>
        <w:keepNext/>
      </w:pPr>
      <w:r>
        <w:t>8. Risk disclosures</w:t>
      </w:r>
    </w:p>
    <w:p>
      <w:pPr>
        <w:spacing w:after="80" w:line="300" w:lineRule="auto"/>
        <w:numPr>
          <w:ilvl w:val="0"/>
          <w:numId w:val="10"/>
        </w:numPr>
      </w:pPr>
      <w:r>
        <w:rPr>
          <w:rFonts w:ascii="Calibri" w:hAnsi="Calibri"/>
          <w:b w:val="0"/>
          <w:i w:val="0"/>
          <w:color w:val="263D49"/>
          <w:sz w:val="21"/>
        </w:rPr>
        <w:t>Early-stage execution risk, limited operating history and dependence on future partnerships.</w:t>
      </w:r>
    </w:p>
    <w:p>
      <w:pPr>
        <w:spacing w:after="80" w:line="300" w:lineRule="auto"/>
        <w:numPr>
          <w:ilvl w:val="0"/>
          <w:numId w:val="10"/>
        </w:numPr>
      </w:pPr>
      <w:r>
        <w:rPr>
          <w:rFonts w:ascii="Calibri" w:hAnsi="Calibri"/>
          <w:b w:val="0"/>
          <w:i w:val="0"/>
          <w:color w:val="263D49"/>
          <w:sz w:val="21"/>
        </w:rPr>
        <w:t>Regulatory, securities, healthcare, data-protection, payments, tax and AML uncertainty.</w:t>
      </w:r>
    </w:p>
    <w:p>
      <w:pPr>
        <w:spacing w:after="80" w:line="300" w:lineRule="auto"/>
        <w:numPr>
          <w:ilvl w:val="0"/>
          <w:numId w:val="10"/>
        </w:numPr>
      </w:pPr>
      <w:r>
        <w:rPr>
          <w:rFonts w:ascii="Calibri" w:hAnsi="Calibri"/>
          <w:b w:val="0"/>
          <w:i w:val="0"/>
          <w:color w:val="263D49"/>
          <w:sz w:val="21"/>
        </w:rPr>
        <w:t>Blockchain, wallet, custody, smart-contract, cyber-security and key-management risk.</w:t>
      </w:r>
    </w:p>
    <w:p>
      <w:pPr>
        <w:spacing w:after="80" w:line="300" w:lineRule="auto"/>
        <w:numPr>
          <w:ilvl w:val="0"/>
          <w:numId w:val="10"/>
        </w:numPr>
      </w:pPr>
      <w:r>
        <w:rPr>
          <w:rFonts w:ascii="Calibri" w:hAnsi="Calibri"/>
          <w:b w:val="0"/>
          <w:i w:val="0"/>
          <w:color w:val="263D49"/>
          <w:sz w:val="21"/>
        </w:rPr>
        <w:t>Token-price volatility and possible absence of any liquid market.</w:t>
      </w:r>
    </w:p>
    <w:p>
      <w:pPr>
        <w:spacing w:after="80" w:line="300" w:lineRule="auto"/>
        <w:numPr>
          <w:ilvl w:val="0"/>
          <w:numId w:val="10"/>
        </w:numPr>
      </w:pPr>
      <w:r>
        <w:rPr>
          <w:rFonts w:ascii="Calibri" w:hAnsi="Calibri"/>
          <w:b w:val="0"/>
          <w:i w:val="0"/>
          <w:color w:val="263D49"/>
          <w:sz w:val="21"/>
        </w:rPr>
        <w:t>No assurance of exchange listing, token utility adoption, dividends, redemption or capital recovery.</w:t>
      </w:r>
    </w:p>
    <w:p>
      <w:pPr>
        <w:spacing w:after="80" w:line="300" w:lineRule="auto"/>
        <w:numPr>
          <w:ilvl w:val="0"/>
          <w:numId w:val="10"/>
        </w:numPr>
      </w:pPr>
      <w:r>
        <w:rPr>
          <w:rFonts w:ascii="Calibri" w:hAnsi="Calibri"/>
          <w:b w:val="0"/>
          <w:i w:val="0"/>
          <w:color w:val="263D49"/>
          <w:sz w:val="21"/>
        </w:rPr>
        <w:t>Potential conflicts of interest and key-person dependence while the project has one founder.</w:t>
      </w:r>
    </w:p>
    <w:p>
      <w:pPr>
        <w:pStyle w:val="Heading2"/>
        <w:keepNext/>
      </w:pPr>
      <w:r>
        <w:t>9. Communications and anti-fraud protocol</w:t>
      </w:r>
    </w:p>
    <w:p>
      <w:pPr>
        <w:spacing w:after="80" w:line="300" w:lineRule="auto"/>
        <w:numPr>
          <w:ilvl w:val="0"/>
          <w:numId w:val="10"/>
        </w:numPr>
      </w:pPr>
      <w:r>
        <w:rPr>
          <w:rFonts w:ascii="Calibri" w:hAnsi="Calibri"/>
          <w:b w:val="0"/>
          <w:i w:val="0"/>
          <w:color w:val="263D49"/>
          <w:sz w:val="21"/>
        </w:rPr>
        <w:t>The public website is the source of truth for official addresses and documents.</w:t>
      </w:r>
    </w:p>
    <w:p>
      <w:pPr>
        <w:spacing w:after="80" w:line="300" w:lineRule="auto"/>
        <w:numPr>
          <w:ilvl w:val="0"/>
          <w:numId w:val="10"/>
        </w:numPr>
      </w:pPr>
      <w:r>
        <w:rPr>
          <w:rFonts w:ascii="Calibri" w:hAnsi="Calibri"/>
          <w:b w:val="0"/>
          <w:i w:val="0"/>
          <w:color w:val="263D49"/>
          <w:sz w:val="21"/>
        </w:rPr>
        <w:t>The administrative alert bot is not an investment solicitation or funding channel.</w:t>
      </w:r>
    </w:p>
    <w:p>
      <w:pPr>
        <w:spacing w:after="80" w:line="300" w:lineRule="auto"/>
        <w:numPr>
          <w:ilvl w:val="0"/>
          <w:numId w:val="10"/>
        </w:numPr>
      </w:pPr>
      <w:r>
        <w:rPr>
          <w:rFonts w:ascii="Calibri" w:hAnsi="Calibri"/>
          <w:b w:val="0"/>
          <w:i w:val="0"/>
          <w:color w:val="263D49"/>
          <w:sz w:val="21"/>
        </w:rPr>
        <w:t>Any public announcement channel must link back to the official website and pin an anti-scam notice.</w:t>
      </w:r>
    </w:p>
    <w:p>
      <w:pPr>
        <w:spacing w:after="80" w:line="300" w:lineRule="auto"/>
        <w:numPr>
          <w:ilvl w:val="0"/>
          <w:numId w:val="10"/>
        </w:numPr>
      </w:pPr>
      <w:r>
        <w:rPr>
          <w:rFonts w:ascii="Calibri" w:hAnsi="Calibri"/>
          <w:b w:val="0"/>
          <w:i w:val="0"/>
          <w:color w:val="263D49"/>
          <w:sz w:val="21"/>
        </w:rPr>
        <w:t>Funding instructions are provided only after KYC and signed documents; CriptoSalud does not request transfers through unsolicited direct messages.</w:t>
      </w:r>
    </w:p>
    <w:p>
      <w:pPr>
        <w:spacing w:after="80" w:line="300" w:lineRule="auto"/>
        <w:numPr>
          <w:ilvl w:val="0"/>
          <w:numId w:val="10"/>
        </w:numPr>
      </w:pPr>
      <w:r>
        <w:rPr>
          <w:rFonts w:ascii="Calibri" w:hAnsi="Calibri"/>
          <w:b w:val="0"/>
          <w:i w:val="0"/>
          <w:color w:val="263D49"/>
          <w:sz w:val="21"/>
        </w:rPr>
        <w:t>Any change to a treasury or token address must be announced through at least two official channels and reflected in the data room.</w:t>
      </w:r>
    </w:p>
    <w:p>
      <w:pPr>
        <w:pStyle w:val="Heading2"/>
        <w:keepNext/>
      </w:pPr>
      <w:r>
        <w:t>10. Matters reserved for definitive agreements</w:t>
      </w:r>
    </w:p>
    <w:p>
      <w:pPr>
        <w:spacing w:after="80" w:line="300" w:lineRule="auto"/>
        <w:numPr>
          <w:ilvl w:val="0"/>
          <w:numId w:val="10"/>
        </w:numPr>
      </w:pPr>
      <w:r>
        <w:rPr>
          <w:rFonts w:ascii="Calibri" w:hAnsi="Calibri"/>
          <w:b w:val="0"/>
          <w:i w:val="0"/>
          <w:color w:val="263D49"/>
          <w:sz w:val="21"/>
        </w:rPr>
        <w:t>Legal entity, jurisdiction, governing law and dispute-resolution forum.</w:t>
      </w:r>
    </w:p>
    <w:p>
      <w:pPr>
        <w:spacing w:after="80" w:line="300" w:lineRule="auto"/>
        <w:numPr>
          <w:ilvl w:val="0"/>
          <w:numId w:val="10"/>
        </w:numPr>
      </w:pPr>
      <w:r>
        <w:rPr>
          <w:rFonts w:ascii="Calibri" w:hAnsi="Calibri"/>
          <w:b w:val="0"/>
          <w:i w:val="0"/>
          <w:color w:val="263D49"/>
          <w:sz w:val="21"/>
        </w:rPr>
        <w:t>Investment amount, valuation or cap, security class, closing conditions and capitalization.</w:t>
      </w:r>
    </w:p>
    <w:p>
      <w:pPr>
        <w:spacing w:after="80" w:line="300" w:lineRule="auto"/>
        <w:numPr>
          <w:ilvl w:val="0"/>
          <w:numId w:val="10"/>
        </w:numPr>
      </w:pPr>
      <w:r>
        <w:rPr>
          <w:rFonts w:ascii="Calibri" w:hAnsi="Calibri"/>
          <w:b w:val="0"/>
          <w:i w:val="0"/>
          <w:color w:val="263D49"/>
          <w:sz w:val="21"/>
        </w:rPr>
        <w:t>Exact investor rights, thresholds, information package and confidentiality obligations.</w:t>
      </w:r>
    </w:p>
    <w:p>
      <w:pPr>
        <w:spacing w:after="80" w:line="300" w:lineRule="auto"/>
        <w:numPr>
          <w:ilvl w:val="0"/>
          <w:numId w:val="10"/>
        </w:numPr>
      </w:pPr>
      <w:r>
        <w:rPr>
          <w:rFonts w:ascii="Calibri" w:hAnsi="Calibri"/>
          <w:b w:val="0"/>
          <w:i w:val="0"/>
          <w:color w:val="263D49"/>
          <w:sz w:val="21"/>
        </w:rPr>
        <w:t>Token-warrant economics, tax treatment, vesting commencement, transfer limits and compliance representations.</w:t>
      </w:r>
    </w:p>
    <w:p>
      <w:pPr>
        <w:spacing w:after="80" w:line="300" w:lineRule="auto"/>
        <w:numPr>
          <w:ilvl w:val="0"/>
          <w:numId w:val="10"/>
        </w:numPr>
      </w:pPr>
      <w:r>
        <w:rPr>
          <w:rFonts w:ascii="Calibri" w:hAnsi="Calibri"/>
          <w:b w:val="0"/>
          <w:i w:val="0"/>
          <w:color w:val="263D49"/>
          <w:sz w:val="21"/>
        </w:rPr>
        <w:t>Representations, warranties, indemnities, termination rights and signature blocks.</w:t>
      </w:r>
    </w:p>
    <w:p>
      <w:pPr>
        <w:pStyle w:val="Heading2"/>
        <w:keepNext/>
      </w:pPr>
      <w:r>
        <w:t>Sources and review notes</w:t>
      </w:r>
    </w:p>
    <w:p>
      <w:pPr>
        <w:spacing w:after="80" w:line="300" w:lineRule="auto"/>
        <w:numPr>
          <w:ilvl w:val="0"/>
          <w:numId w:val="10"/>
        </w:numPr>
      </w:pPr>
      <w:r>
        <w:rPr>
          <w:rFonts w:ascii="Calibri" w:hAnsi="Calibri"/>
          <w:b w:val="0"/>
          <w:i w:val="0"/>
          <w:color w:val="263D49"/>
          <w:sz w:val="21"/>
        </w:rPr>
        <w:t>SUGEVAL, Reglamento sobre Oferta Pública de Valores (current version should be confirmed by counsel): https://www.sugeval.fi.cr/</w:t>
      </w:r>
    </w:p>
    <w:p>
      <w:pPr>
        <w:spacing w:after="80" w:line="300" w:lineRule="auto"/>
        <w:numPr>
          <w:ilvl w:val="0"/>
          <w:numId w:val="10"/>
        </w:numPr>
      </w:pPr>
      <w:r>
        <w:rPr>
          <w:rFonts w:ascii="Calibri" w:hAnsi="Calibri"/>
          <w:b w:val="0"/>
          <w:i w:val="0"/>
          <w:color w:val="263D49"/>
          <w:sz w:val="21"/>
        </w:rPr>
        <w:t>U.S. SEC, Framework for Investment Contract Analysis of Digital Assets: https://www.sec.gov/</w:t>
      </w:r>
    </w:p>
    <w:p>
      <w:pPr>
        <w:spacing w:after="80" w:line="300" w:lineRule="auto"/>
        <w:numPr>
          <w:ilvl w:val="0"/>
          <w:numId w:val="10"/>
        </w:numPr>
      </w:pPr>
      <w:r>
        <w:rPr>
          <w:rFonts w:ascii="Calibri" w:hAnsi="Calibri"/>
          <w:b w:val="0"/>
          <w:i w:val="0"/>
          <w:color w:val="263D49"/>
          <w:sz w:val="21"/>
        </w:rPr>
        <w:t>Solana SPL Token documentation: https://spl.solana.com/token</w:t>
      </w:r>
    </w:p>
    <w:p>
      <w:r>
        <w:br w:type="page"/>
      </w:r>
    </w:p>
    <w:p>
      <w:pPr>
        <w:pStyle w:val="Heading1"/>
        <w:keepNext/>
      </w:pPr>
      <w:r>
        <w:t>Marco en español</w:t>
      </w:r>
    </w:p>
    <w:p>
      <w:pPr>
        <w:spacing w:before="0" w:after="160" w:line="276" w:lineRule="auto"/>
      </w:pPr>
      <w:r>
        <w:rPr>
          <w:rFonts w:ascii="Calibri" w:hAnsi="Calibri"/>
          <w:b w:val="0"/>
          <w:i w:val="0"/>
          <w:color w:val="263D49"/>
          <w:sz w:val="22"/>
        </w:rPr>
        <w:t>Este marco resume las protecciones contractuales y los principios de asignación de tokens que CriptoSalud propone discutir con inversionistas privados elegibles. Su objetivo es hacer concreta la debida diligencia mientras se preparan los contratos definitivos.</w:t>
      </w:r>
    </w:p>
    <w:p>
      <w:pPr>
        <w:spacing w:before="140" w:after="200" w:line="276" w:lineRule="auto"/>
        <w:ind w:left="216" w:right="115"/>
        <w:shd w:fill="FFF4DE"/>
        <w:pBdr>
          <w:left w:val="single" w:sz="18" w:space="12" w:color="9B6B18"/>
        </w:pBdr>
      </w:pPr>
      <w:r>
        <w:rPr>
          <w:rFonts w:ascii="Calibri" w:hAnsi="Calibri"/>
          <w:b/>
          <w:i w:val="0"/>
          <w:color w:val="263D49"/>
          <w:sz w:val="21"/>
        </w:rPr>
        <w:t xml:space="preserve">Importante: </w:t>
      </w:r>
      <w:r>
        <w:rPr>
          <w:rFonts w:ascii="Calibri" w:hAnsi="Calibri"/>
          <w:b w:val="0"/>
          <w:i w:val="0"/>
          <w:color w:val="263D49"/>
          <w:sz w:val="21"/>
        </w:rPr>
        <w:t>BORRADOR NO VINCULANTE PARA DISCUSIÓN. Este documento no es un prospecto, oferta pública, venta de tokens, opinión legal ni promesa de rendimiento. Ninguna persona adquiere derechos hasta que la entidad correspondiente y el inversionista elegible firmen contratos definitivos revisados por asesores independientes.</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Mint oficial de SALUD: </w:t>
      </w:r>
      <w:r>
        <w:rPr>
          <w:rFonts w:ascii="Calibri" w:hAnsi="Calibri"/>
          <w:b w:val="0"/>
          <w:i w:val="0"/>
          <w:color w:val="263D49"/>
          <w:sz w:val="21"/>
        </w:rPr>
        <w:t>68bmLVr8MAycxX39VcEKsgpmVKCP5qBYGoQX6DWXn15V (red principal de Solana). Verifique la dirección en el sitio oficial antes de utilizarla.</w:t>
      </w:r>
    </w:p>
    <w:p>
      <w:pPr>
        <w:pStyle w:val="Heading2"/>
        <w:keepNext/>
      </w:pPr>
      <w:r>
        <w:t>1. Estructura de la transacción</w:t>
      </w:r>
    </w:p>
    <w:p>
      <w:pPr>
        <w:spacing w:after="100" w:line="276" w:lineRule="auto"/>
      </w:pPr>
      <w:r>
        <w:rPr>
          <w:rFonts w:ascii="Calibri" w:hAnsi="Calibri"/>
          <w:b/>
          <w:i w:val="0"/>
          <w:color w:val="087F78"/>
          <w:sz w:val="21"/>
        </w:rPr>
        <w:t xml:space="preserve">Emisor. </w:t>
      </w:r>
      <w:r>
        <w:rPr>
          <w:rFonts w:ascii="Calibri" w:hAnsi="Calibri"/>
          <w:b w:val="0"/>
          <w:i w:val="0"/>
          <w:color w:val="263D49"/>
          <w:sz w:val="21"/>
        </w:rPr>
        <w:t>La sociedad operativa o holding que se identifique en el contrato definitivo después de la revisión corporativa y fiscal.</w:t>
      </w:r>
    </w:p>
    <w:p>
      <w:pPr>
        <w:spacing w:after="100" w:line="276" w:lineRule="auto"/>
      </w:pPr>
      <w:r>
        <w:rPr>
          <w:rFonts w:ascii="Calibri" w:hAnsi="Calibri"/>
          <w:b/>
          <w:i w:val="0"/>
          <w:color w:val="087F78"/>
          <w:sz w:val="21"/>
        </w:rPr>
        <w:t xml:space="preserve">Inversionista. </w:t>
      </w:r>
      <w:r>
        <w:rPr>
          <w:rFonts w:ascii="Calibri" w:hAnsi="Calibri"/>
          <w:b w:val="0"/>
          <w:i w:val="0"/>
          <w:color w:val="263D49"/>
          <w:sz w:val="21"/>
        </w:rPr>
        <w:t>Persona física o jurídica que supere elegibilidad, KYC/AML, sanciones y verificación del origen de fondos.</w:t>
      </w:r>
    </w:p>
    <w:p>
      <w:pPr>
        <w:spacing w:after="100" w:line="276" w:lineRule="auto"/>
      </w:pPr>
      <w:r>
        <w:rPr>
          <w:rFonts w:ascii="Calibri" w:hAnsi="Calibri"/>
          <w:b/>
          <w:i w:val="0"/>
          <w:color w:val="087F78"/>
          <w:sz w:val="21"/>
        </w:rPr>
        <w:t xml:space="preserve">Instrumento. </w:t>
      </w:r>
      <w:r>
        <w:rPr>
          <w:rFonts w:ascii="Calibri" w:hAnsi="Calibri"/>
          <w:b w:val="0"/>
          <w:i w:val="0"/>
          <w:color w:val="263D49"/>
          <w:sz w:val="21"/>
        </w:rPr>
        <w:t>Capital, instrumento convertible u otra estructura privada lícita elegida por los asesores. SALUD no es automáticamente una acción.</w:t>
      </w:r>
    </w:p>
    <w:p>
      <w:pPr>
        <w:spacing w:after="100" w:line="276" w:lineRule="auto"/>
      </w:pPr>
      <w:r>
        <w:rPr>
          <w:rFonts w:ascii="Calibri" w:hAnsi="Calibri"/>
          <w:b/>
          <w:i w:val="0"/>
          <w:color w:val="087F78"/>
          <w:sz w:val="21"/>
        </w:rPr>
        <w:t xml:space="preserve">Cierre. </w:t>
      </w:r>
      <w:r>
        <w:rPr>
          <w:rFonts w:ascii="Calibri" w:hAnsi="Calibri"/>
          <w:b w:val="0"/>
          <w:i w:val="0"/>
          <w:color w:val="263D49"/>
          <w:sz w:val="21"/>
        </w:rPr>
        <w:t>Los fondos se aceptan únicamente después de contratos firmados e instrucciones escritas. Nunca se solicita una frase semilla ni clave privada.</w:t>
      </w:r>
    </w:p>
    <w:p>
      <w:pPr>
        <w:pStyle w:val="Heading2"/>
        <w:keepNext/>
      </w:pPr>
      <w:r>
        <w:t>2. Derechos propuestos para el inversionista</w:t>
      </w:r>
    </w:p>
    <w:p>
      <w:pPr>
        <w:spacing w:after="80" w:line="300" w:lineRule="auto"/>
        <w:numPr>
          <w:ilvl w:val="0"/>
          <w:numId w:val="10"/>
        </w:numPr>
      </w:pPr>
      <w:r>
        <w:rPr>
          <w:rFonts w:ascii="Calibri" w:hAnsi="Calibri"/>
          <w:b w:val="0"/>
          <w:i w:val="0"/>
          <w:color w:val="263D49"/>
          <w:sz w:val="21"/>
        </w:rPr>
        <w:t>Reporte trimestral de gestión sobre producto, clínicas, actividad transaccional, uso de efectivo y riesgos materiales.</w:t>
      </w:r>
    </w:p>
    <w:p>
      <w:pPr>
        <w:spacing w:after="80" w:line="300" w:lineRule="auto"/>
        <w:numPr>
          <w:ilvl w:val="0"/>
          <w:numId w:val="10"/>
        </w:numPr>
      </w:pPr>
      <w:r>
        <w:rPr>
          <w:rFonts w:ascii="Calibri" w:hAnsi="Calibri"/>
          <w:b w:val="0"/>
          <w:i w:val="0"/>
          <w:color w:val="263D49"/>
          <w:sz w:val="21"/>
        </w:rPr>
        <w:t>Plan operativo anual y aviso de eventos materiales.</w:t>
      </w:r>
    </w:p>
    <w:p>
      <w:pPr>
        <w:spacing w:after="80" w:line="300" w:lineRule="auto"/>
        <w:numPr>
          <w:ilvl w:val="0"/>
          <w:numId w:val="10"/>
        </w:numPr>
      </w:pPr>
      <w:r>
        <w:rPr>
          <w:rFonts w:ascii="Calibri" w:hAnsi="Calibri"/>
          <w:b w:val="0"/>
          <w:i w:val="0"/>
          <w:color w:val="263D49"/>
          <w:sz w:val="21"/>
        </w:rPr>
        <w:t>Oportunidad de participación prorrata en futuras rondas de capital, sujeta a umbrales negociados y la ley.</w:t>
      </w:r>
    </w:p>
    <w:p>
      <w:pPr>
        <w:spacing w:after="80" w:line="300" w:lineRule="auto"/>
        <w:numPr>
          <w:ilvl w:val="0"/>
          <w:numId w:val="10"/>
        </w:numPr>
      </w:pPr>
      <w:r>
        <w:rPr>
          <w:rFonts w:ascii="Calibri" w:hAnsi="Calibri"/>
          <w:b w:val="0"/>
          <w:i w:val="0"/>
          <w:color w:val="263D49"/>
          <w:sz w:val="21"/>
        </w:rPr>
        <w:t>Protecciones negociadas para valores preferentes, venta o liquidación, operaciones relacionadas y cambios adversos de clase.</w:t>
      </w:r>
    </w:p>
    <w:p>
      <w:pPr>
        <w:spacing w:after="80" w:line="300" w:lineRule="auto"/>
        <w:numPr>
          <w:ilvl w:val="0"/>
          <w:numId w:val="10"/>
        </w:numPr>
      </w:pPr>
      <w:r>
        <w:rPr>
          <w:rFonts w:ascii="Calibri" w:hAnsi="Calibri"/>
          <w:b w:val="0"/>
          <w:i w:val="0"/>
          <w:color w:val="263D49"/>
          <w:sz w:val="21"/>
        </w:rPr>
        <w:t>Cláusulas de transferencia, acompañamiento y eventos de liquidez cuando correspondan al instrumento.</w:t>
      </w:r>
    </w:p>
    <w:p>
      <w:pPr>
        <w:spacing w:after="80" w:line="300" w:lineRule="auto"/>
        <w:numPr>
          <w:ilvl w:val="0"/>
          <w:numId w:val="10"/>
        </w:numPr>
      </w:pPr>
      <w:r>
        <w:rPr>
          <w:rFonts w:ascii="Calibri" w:hAnsi="Calibri"/>
          <w:b w:val="0"/>
          <w:i w:val="0"/>
          <w:color w:val="263D49"/>
          <w:sz w:val="21"/>
        </w:rPr>
        <w:t>Registros exactos de capital o tenedores y, si se negocia para un inversionista líder, revisión estratégica u observación estructurada.</w:t>
      </w:r>
    </w:p>
    <w:p>
      <w:pPr>
        <w:pStyle w:val="Heading2"/>
        <w:keepNext/>
      </w:pPr>
      <w:r>
        <w:t>3. Política de asignación del token SALUD</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Política de planeación: </w:t>
      </w:r>
      <w:r>
        <w:rPr>
          <w:rFonts w:ascii="Calibri" w:hAnsi="Calibri"/>
          <w:b w:val="0"/>
          <w:i w:val="0"/>
          <w:color w:val="263D49"/>
          <w:sz w:val="21"/>
        </w:rPr>
        <w:t>Los porcentajes siguientes son controles propuestos, no distribuciones actuales. Todo cambio requiere aprobación escrita, asignación pública actualizada y registros on-chain correspondientes.</w:t>
      </w:r>
    </w:p>
    <w:tbl>
      <w:tblPr>
        <w:tblStyle w:val="TableGrid"/>
        <w:tblW w:type="dxa" w:w="9360"/>
        <w:tblLayout w:type="fixed"/>
        <w:tblLook w:firstColumn="1" w:firstRow="1" w:lastColumn="0" w:lastRow="0" w:noHBand="0" w:noVBand="1" w:val="04A0"/>
        <w:jc w:val="left"/>
        <w:tblInd w:w="120" w:type="dxa"/>
        <w:tblBorders>
          <w:top w:val="single" w:sz="6" w:color="D3E1E3"/>
          <w:left w:val="single" w:sz="6" w:color="D3E1E3"/>
          <w:bottom w:val="single" w:sz="6" w:color="D3E1E3"/>
          <w:right w:val="single" w:sz="6" w:color="D3E1E3"/>
          <w:insideH w:val="single" w:sz="6" w:color="D3E1E3"/>
          <w:insideV w:val="single" w:sz="6" w:color="D3E1E3"/>
        </w:tblBorders>
      </w:tblPr>
      <w:tblGrid>
        <w:gridCol w:w="2700"/>
        <w:gridCol w:w="1700"/>
        <w:gridCol w:w="1100"/>
        <w:gridCol w:w="3860"/>
      </w:tblGrid>
      <w:tr>
        <w:trPr>
          <w:tblHeader w:val="true"/>
        </w:trPr>
        <w:tc>
          <w:tcPr>
            <w:tcW w:type="dxa" w:w="2700"/>
            <w:tcMar>
              <w:top w:w="100" w:type="dxa"/>
              <w:start w:w="120" w:type="dxa"/>
              <w:bottom w:w="100" w:type="dxa"/>
              <w:end w:w="120" w:type="dxa"/>
            </w:tcMar>
            <w:vAlign w:val="center"/>
            <w:shd w:fill="0A3542"/>
          </w:tcPr>
          <w:p>
            <w:pPr>
              <w:jc w:val="left"/>
            </w:pPr>
            <w:r>
              <w:rPr>
                <w:rFonts w:ascii="Calibri" w:hAnsi="Calibri"/>
                <w:b/>
                <w:i w:val="0"/>
                <w:color w:val="FFFFFF"/>
                <w:sz w:val="19"/>
              </w:rPr>
              <w:t>Asignación</w:t>
            </w:r>
          </w:p>
        </w:tc>
        <w:tc>
          <w:tcPr>
            <w:tcW w:type="dxa" w:w="1700"/>
            <w:tcMar>
              <w:top w:w="100" w:type="dxa"/>
              <w:start w:w="120" w:type="dxa"/>
              <w:bottom w:w="100" w:type="dxa"/>
              <w:end w:w="120" w:type="dxa"/>
            </w:tcMar>
            <w:vAlign w:val="center"/>
            <w:shd w:fill="0A3542"/>
          </w:tcPr>
          <w:p>
            <w:pPr>
              <w:jc w:val="center"/>
            </w:pPr>
            <w:r>
              <w:rPr>
                <w:rFonts w:ascii="Calibri" w:hAnsi="Calibri"/>
                <w:b/>
                <w:i w:val="0"/>
                <w:color w:val="FFFFFF"/>
                <w:sz w:val="19"/>
              </w:rPr>
              <w:t>Tokens</w:t>
            </w:r>
          </w:p>
        </w:tc>
        <w:tc>
          <w:tcPr>
            <w:tcW w:type="dxa" w:w="1100"/>
            <w:tcMar>
              <w:top w:w="100" w:type="dxa"/>
              <w:start w:w="120" w:type="dxa"/>
              <w:bottom w:w="100" w:type="dxa"/>
              <w:end w:w="120" w:type="dxa"/>
            </w:tcMar>
            <w:vAlign w:val="center"/>
            <w:shd w:fill="0A3542"/>
          </w:tcPr>
          <w:p>
            <w:pPr>
              <w:jc w:val="center"/>
            </w:pPr>
            <w:r>
              <w:rPr>
                <w:rFonts w:ascii="Calibri" w:hAnsi="Calibri"/>
                <w:b/>
                <w:i w:val="0"/>
                <w:color w:val="FFFFFF"/>
                <w:sz w:val="19"/>
              </w:rPr>
              <w:t>Porción</w:t>
            </w:r>
          </w:p>
        </w:tc>
        <w:tc>
          <w:tcPr>
            <w:tcW w:type="dxa" w:w="3860"/>
            <w:tcMar>
              <w:top w:w="100" w:type="dxa"/>
              <w:start w:w="120" w:type="dxa"/>
              <w:bottom w:w="100" w:type="dxa"/>
              <w:end w:w="120" w:type="dxa"/>
            </w:tcMar>
            <w:vAlign w:val="center"/>
            <w:shd w:fill="0A3542"/>
          </w:tcPr>
          <w:p>
            <w:pPr>
              <w:jc w:val="left"/>
            </w:pPr>
            <w:r>
              <w:rPr>
                <w:rFonts w:ascii="Calibri" w:hAnsi="Calibri"/>
                <w:b/>
                <w:i w:val="0"/>
                <w:color w:val="FFFFFF"/>
                <w:sz w:val="19"/>
              </w:rPr>
              <w:t>Control propuesto</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Incentivo para inversionistas</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12.000.000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12%</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Reserva separada; asignación solo mediante contratos definitivos.</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Adopción de clínicas y pacientes</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35.000.000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35%</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Presupuestos de programa y reglas de elegibilidad documentadas.</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Tesorería y desarrollo</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23.000.000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23%</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Aprobaciones operativas, registros y reportes periódicos.</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Fundador</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15.000.000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15%</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Vesting propuesto de 48 meses con cliff de 12 meses.</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Liquidez futura</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10.000.000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10%</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No se despliega antes de la revisión legal, de mercado y liquidez.</w:t>
            </w:r>
          </w:p>
        </w:tc>
      </w:tr>
      <w:tr>
        <w:tc>
          <w:tcPr>
            <w:tcW w:type="dxa" w:w="270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Asesores y alianzas</w:t>
            </w:r>
          </w:p>
        </w:tc>
        <w:tc>
          <w:tcPr>
            <w:tcW w:type="dxa" w:w="17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5.000.000</w:t>
            </w:r>
          </w:p>
        </w:tc>
        <w:tc>
          <w:tcPr>
            <w:tcW w:type="dxa" w:w="1100"/>
            <w:tcMar>
              <w:top w:w="100" w:type="dxa"/>
              <w:start w:w="120" w:type="dxa"/>
              <w:bottom w:w="100" w:type="dxa"/>
              <w:end w:w="120" w:type="dxa"/>
            </w:tcMar>
            <w:vAlign w:val="center"/>
          </w:tcPr>
          <w:p>
            <w:pPr>
              <w:spacing w:after="0" w:line="252" w:lineRule="auto"/>
              <w:jc w:val="center"/>
            </w:pPr>
            <w:r>
              <w:rPr>
                <w:rFonts w:ascii="Calibri" w:hAnsi="Calibri"/>
                <w:b w:val="0"/>
                <w:i w:val="0"/>
                <w:color w:val="263D49"/>
                <w:sz w:val="18"/>
              </w:rPr>
              <w:t>5%</w:t>
            </w:r>
          </w:p>
        </w:tc>
        <w:tc>
          <w:tcPr>
            <w:tcW w:type="dxa" w:w="3860"/>
            <w:tcMar>
              <w:top w:w="100" w:type="dxa"/>
              <w:start w:w="120" w:type="dxa"/>
              <w:bottom w:w="100" w:type="dxa"/>
              <w:end w:w="120" w:type="dxa"/>
            </w:tcMar>
            <w:vAlign w:val="center"/>
          </w:tcPr>
          <w:p>
            <w:pPr>
              <w:spacing w:after="0" w:line="252" w:lineRule="auto"/>
              <w:jc w:val="left"/>
            </w:pPr>
            <w:r>
              <w:rPr>
                <w:rFonts w:ascii="Calibri" w:hAnsi="Calibri"/>
                <w:b w:val="0"/>
                <w:i w:val="0"/>
                <w:color w:val="263D49"/>
                <w:sz w:val="18"/>
              </w:rPr>
              <w:t>Asignaciones por hitos mediante acuerdos escritos.</w:t>
            </w:r>
          </w:p>
        </w:tc>
      </w:tr>
      <w:tr>
        <w:tc>
          <w:tcPr>
            <w:tcW w:type="dxa" w:w="2700"/>
            <w:tcMar>
              <w:top w:w="100" w:type="dxa"/>
              <w:start w:w="120" w:type="dxa"/>
              <w:bottom w:w="100" w:type="dxa"/>
              <w:end w:w="120" w:type="dxa"/>
            </w:tcMar>
            <w:vAlign w:val="center"/>
            <w:shd w:fill="EAF4F4"/>
          </w:tcPr>
          <w:p>
            <w:pPr>
              <w:spacing w:after="0" w:line="252" w:lineRule="auto"/>
              <w:jc w:val="left"/>
            </w:pPr>
            <w:r>
              <w:rPr>
                <w:rFonts w:ascii="Calibri" w:hAnsi="Calibri"/>
                <w:b/>
                <w:i w:val="0"/>
                <w:color w:val="263D49"/>
                <w:sz w:val="18"/>
              </w:rPr>
              <w:t>TOTAL</w:t>
            </w:r>
          </w:p>
        </w:tc>
        <w:tc>
          <w:tcPr>
            <w:tcW w:type="dxa" w:w="1700"/>
            <w:tcMar>
              <w:top w:w="100" w:type="dxa"/>
              <w:start w:w="120" w:type="dxa"/>
              <w:bottom w:w="100" w:type="dxa"/>
              <w:end w:w="120" w:type="dxa"/>
            </w:tcMar>
            <w:vAlign w:val="center"/>
            <w:shd w:fill="EAF4F4"/>
          </w:tcPr>
          <w:p>
            <w:pPr>
              <w:spacing w:after="0" w:line="252" w:lineRule="auto"/>
              <w:jc w:val="center"/>
            </w:pPr>
            <w:r>
              <w:rPr>
                <w:rFonts w:ascii="Calibri" w:hAnsi="Calibri"/>
                <w:b/>
                <w:i w:val="0"/>
                <w:color w:val="263D49"/>
                <w:sz w:val="18"/>
              </w:rPr>
              <w:t>100.000.000</w:t>
            </w:r>
          </w:p>
        </w:tc>
        <w:tc>
          <w:tcPr>
            <w:tcW w:type="dxa" w:w="1100"/>
            <w:tcMar>
              <w:top w:w="100" w:type="dxa"/>
              <w:start w:w="120" w:type="dxa"/>
              <w:bottom w:w="100" w:type="dxa"/>
              <w:end w:w="120" w:type="dxa"/>
            </w:tcMar>
            <w:vAlign w:val="center"/>
            <w:shd w:fill="EAF4F4"/>
          </w:tcPr>
          <w:p>
            <w:pPr>
              <w:spacing w:after="0" w:line="252" w:lineRule="auto"/>
              <w:jc w:val="center"/>
            </w:pPr>
            <w:r>
              <w:rPr>
                <w:rFonts w:ascii="Calibri" w:hAnsi="Calibri"/>
                <w:b/>
                <w:i w:val="0"/>
                <w:color w:val="263D49"/>
                <w:sz w:val="18"/>
              </w:rPr>
              <w:t>100%</w:t>
            </w:r>
          </w:p>
        </w:tc>
        <w:tc>
          <w:tcPr>
            <w:tcW w:type="dxa" w:w="3860"/>
            <w:tcMar>
              <w:top w:w="100" w:type="dxa"/>
              <w:start w:w="120" w:type="dxa"/>
              <w:bottom w:w="100" w:type="dxa"/>
              <w:end w:w="120" w:type="dxa"/>
            </w:tcMar>
            <w:vAlign w:val="center"/>
            <w:shd w:fill="EAF4F4"/>
          </w:tcPr>
          <w:p>
            <w:pPr>
              <w:spacing w:after="0" w:line="252" w:lineRule="auto"/>
              <w:jc w:val="left"/>
            </w:pPr>
            <w:r>
              <w:rPr>
                <w:rFonts w:ascii="Calibri" w:hAnsi="Calibri"/>
                <w:b/>
                <w:i w:val="0"/>
                <w:color w:val="263D49"/>
                <w:sz w:val="18"/>
              </w:rPr>
              <w:t>Asignación de planeación; sujeta a aprobación legal y técnica.</w:t>
            </w:r>
          </w:p>
        </w:tc>
      </w:tr>
    </w:tbl>
    <w:p>
      <w:pPr>
        <w:spacing w:after="0"/>
      </w:pPr>
    </w:p>
    <w:p>
      <w:pPr>
        <w:pStyle w:val="Heading2"/>
        <w:keepNext/>
      </w:pPr>
      <w:r>
        <w:t>4. Concepto de token warrant para inversionistas</w:t>
      </w:r>
    </w:p>
    <w:p>
      <w:pPr>
        <w:spacing w:after="80" w:line="300" w:lineRule="auto"/>
        <w:numPr>
          <w:ilvl w:val="0"/>
          <w:numId w:val="10"/>
        </w:numPr>
      </w:pPr>
      <w:r>
        <w:rPr>
          <w:rFonts w:ascii="Calibri" w:hAnsi="Calibri"/>
          <w:b w:val="0"/>
          <w:i w:val="0"/>
          <w:color w:val="263D49"/>
          <w:sz w:val="21"/>
        </w:rPr>
        <w:t>Un token warrant podrá reconocer un derecho contractual a una asignación futura de SALUD; no constituye una venta pública inmediata.</w:t>
      </w:r>
    </w:p>
    <w:p>
      <w:pPr>
        <w:spacing w:after="80" w:line="300" w:lineRule="auto"/>
        <w:numPr>
          <w:ilvl w:val="0"/>
          <w:numId w:val="10"/>
        </w:numPr>
      </w:pPr>
      <w:r>
        <w:rPr>
          <w:rFonts w:ascii="Calibri" w:hAnsi="Calibri"/>
          <w:b w:val="0"/>
          <w:i w:val="0"/>
          <w:color w:val="263D49"/>
          <w:sz w:val="21"/>
        </w:rPr>
        <w:t>La reserva total para incentivos de inversionistas se planifica en un máximo de 12.000.000 SALUD (12% de la oferta actual de 100.000.000).</w:t>
      </w:r>
    </w:p>
    <w:p>
      <w:pPr>
        <w:spacing w:after="80" w:line="300" w:lineRule="auto"/>
        <w:numPr>
          <w:ilvl w:val="0"/>
          <w:numId w:val="10"/>
        </w:numPr>
      </w:pPr>
      <w:r>
        <w:rPr>
          <w:rFonts w:ascii="Calibri" w:hAnsi="Calibri"/>
          <w:b w:val="0"/>
          <w:i w:val="0"/>
          <w:color w:val="263D49"/>
          <w:sz w:val="21"/>
        </w:rPr>
        <w:t>La asignación, contraprestación y elegibilidad de cada participante constarán únicamente en el contrato definitivo.</w:t>
      </w:r>
    </w:p>
    <w:p>
      <w:pPr>
        <w:spacing w:after="80" w:line="300" w:lineRule="auto"/>
        <w:numPr>
          <w:ilvl w:val="0"/>
          <w:numId w:val="10"/>
        </w:numPr>
      </w:pPr>
      <w:r>
        <w:rPr>
          <w:rFonts w:ascii="Calibri" w:hAnsi="Calibri"/>
          <w:b w:val="0"/>
          <w:i w:val="0"/>
          <w:color w:val="263D49"/>
          <w:sz w:val="21"/>
        </w:rPr>
        <w:t>Liberación propuesta: 10% al lanzamiento elegible de la red y 90% en cuotas mensuales iguales durante 24 meses.</w:t>
      </w:r>
    </w:p>
    <w:p>
      <w:pPr>
        <w:spacing w:after="80" w:line="300" w:lineRule="auto"/>
        <w:numPr>
          <w:ilvl w:val="0"/>
          <w:numId w:val="10"/>
        </w:numPr>
      </w:pPr>
      <w:r>
        <w:rPr>
          <w:rFonts w:ascii="Calibri" w:hAnsi="Calibri"/>
          <w:b w:val="0"/>
          <w:i w:val="0"/>
          <w:color w:val="263D49"/>
          <w:sz w:val="21"/>
        </w:rPr>
        <w:t>La liberación estará condicionada a revisión legal, KYC/AML completo, revisión técnica, utilidad aprobada y el evento definido en el contrato.</w:t>
      </w:r>
    </w:p>
    <w:p>
      <w:pPr>
        <w:spacing w:after="80" w:line="300" w:lineRule="auto"/>
        <w:numPr>
          <w:ilvl w:val="0"/>
          <w:numId w:val="10"/>
        </w:numPr>
      </w:pPr>
      <w:r>
        <w:rPr>
          <w:rFonts w:ascii="Calibri" w:hAnsi="Calibri"/>
          <w:b w:val="0"/>
          <w:i w:val="0"/>
          <w:color w:val="263D49"/>
          <w:sz w:val="21"/>
        </w:rPr>
        <w:t>No se promete cotización en exchanges, liquidez, precio, capitalización de mercado ni rendimiento.</w:t>
      </w:r>
    </w:p>
    <w:p>
      <w:pPr>
        <w:pStyle w:val="Heading2"/>
        <w:keepNext/>
      </w:pPr>
      <w:r>
        <w:t>5. Controles de tesorería y transparencia on-chain</w:t>
      </w:r>
    </w:p>
    <w:p>
      <w:pPr>
        <w:spacing w:after="80" w:line="300" w:lineRule="auto"/>
        <w:numPr>
          <w:ilvl w:val="0"/>
          <w:numId w:val="10"/>
        </w:numPr>
      </w:pPr>
      <w:r>
        <w:rPr>
          <w:rFonts w:ascii="Calibri" w:hAnsi="Calibri"/>
          <w:b w:val="0"/>
          <w:i w:val="0"/>
          <w:color w:val="263D49"/>
          <w:sz w:val="21"/>
        </w:rPr>
        <w:t>Los saldos médicos de clientes, fondos operativos, capital de inversionistas y reservas de tokens permanecen segregados.</w:t>
      </w:r>
    </w:p>
    <w:p>
      <w:pPr>
        <w:spacing w:after="80" w:line="300" w:lineRule="auto"/>
        <w:numPr>
          <w:ilvl w:val="0"/>
          <w:numId w:val="10"/>
        </w:numPr>
      </w:pPr>
      <w:r>
        <w:rPr>
          <w:rFonts w:ascii="Calibri" w:hAnsi="Calibri"/>
          <w:b w:val="0"/>
          <w:i w:val="0"/>
          <w:color w:val="263D49"/>
          <w:sz w:val="21"/>
        </w:rPr>
        <w:t>La reserva SALUD para inversionistas debe mantenerse en una cuenta separada de tesorería Squads e identificarse con una dirección pública.</w:t>
      </w:r>
    </w:p>
    <w:p>
      <w:pPr>
        <w:spacing w:after="80" w:line="300" w:lineRule="auto"/>
        <w:numPr>
          <w:ilvl w:val="0"/>
          <w:numId w:val="10"/>
        </w:numPr>
      </w:pPr>
      <w:r>
        <w:rPr>
          <w:rFonts w:ascii="Calibri" w:hAnsi="Calibri"/>
          <w:b w:val="0"/>
          <w:i w:val="0"/>
          <w:color w:val="263D49"/>
          <w:sz w:val="21"/>
        </w:rPr>
        <w:t>Las direcciones del mint, reserva y vesting deben enlazarse a un explorador público cuando la estructura sea aprobada.</w:t>
      </w:r>
    </w:p>
    <w:p>
      <w:pPr>
        <w:spacing w:after="80" w:line="300" w:lineRule="auto"/>
        <w:numPr>
          <w:ilvl w:val="0"/>
          <w:numId w:val="10"/>
        </w:numPr>
      </w:pPr>
      <w:r>
        <w:rPr>
          <w:rFonts w:ascii="Calibri" w:hAnsi="Calibri"/>
          <w:b w:val="0"/>
          <w:i w:val="0"/>
          <w:color w:val="263D49"/>
          <w:sz w:val="21"/>
        </w:rPr>
        <w:t>Mientras exista un solo fundador, la autoridad operativa debe utilizar una billetera física dedicada y una tesorería separada. Se podrán añadir firmantes independientes cuando exista gobierno formal.</w:t>
      </w:r>
    </w:p>
    <w:p>
      <w:pPr>
        <w:spacing w:after="80" w:line="300" w:lineRule="auto"/>
        <w:numPr>
          <w:ilvl w:val="0"/>
          <w:numId w:val="10"/>
        </w:numPr>
      </w:pPr>
      <w:r>
        <w:rPr>
          <w:rFonts w:ascii="Calibri" w:hAnsi="Calibri"/>
          <w:b w:val="0"/>
          <w:i w:val="0"/>
          <w:color w:val="263D49"/>
          <w:sz w:val="21"/>
        </w:rPr>
        <w:t>La autoridad de emisión no debe deshabilitarse permanentemente hasta finalizar la asignación y las revisiones legal y técnica, porque la acción es irreversible.</w:t>
      </w:r>
    </w:p>
    <w:p>
      <w:pPr>
        <w:pStyle w:val="Heading2"/>
        <w:keepNext/>
      </w:pPr>
      <w:r>
        <w:t>6. Uso del capital de inversión</w:t>
      </w:r>
    </w:p>
    <w:p>
      <w:pPr>
        <w:spacing w:before="0" w:after="140" w:line="276" w:lineRule="auto"/>
      </w:pPr>
      <w:r>
        <w:rPr>
          <w:rFonts w:ascii="Calibri" w:hAnsi="Calibri"/>
          <w:b w:val="0"/>
          <w:i/>
          <w:color w:val="617984"/>
          <w:sz w:val="21"/>
        </w:rPr>
        <w:t>Uso propuesto de una inversión privada de US$500.000</w:t>
      </w:r>
    </w:p>
    <w:tbl>
      <w:tblPr>
        <w:tblStyle w:val="TableGrid"/>
        <w:tblW w:type="dxa" w:w="9360"/>
        <w:tblLayout w:type="fixed"/>
        <w:tblLook w:firstColumn="1" w:firstRow="1" w:lastColumn="0" w:lastRow="0" w:noHBand="0" w:noVBand="1" w:val="04A0"/>
        <w:jc w:val="left"/>
        <w:tblInd w:w="120" w:type="dxa"/>
        <w:tblBorders>
          <w:top w:val="single" w:sz="6" w:color="D3E1E3"/>
          <w:left w:val="single" w:sz="6" w:color="D3E1E3"/>
          <w:bottom w:val="single" w:sz="6" w:color="D3E1E3"/>
          <w:right w:val="single" w:sz="6" w:color="D3E1E3"/>
          <w:insideH w:val="single" w:sz="6" w:color="D3E1E3"/>
          <w:insideV w:val="single" w:sz="6" w:color="D3E1E3"/>
        </w:tblBorders>
      </w:tblPr>
      <w:tblGrid>
        <w:gridCol w:w="2600"/>
        <w:gridCol w:w="1100"/>
        <w:gridCol w:w="5660"/>
      </w:tblGrid>
      <w:tr>
        <w:trPr>
          <w:tblHeader w:val="true"/>
        </w:trPr>
        <w:tc>
          <w:tcPr>
            <w:tcW w:type="dxa" w:w="2600"/>
            <w:tcMar>
              <w:top w:w="100" w:type="dxa"/>
              <w:start w:w="120" w:type="dxa"/>
              <w:bottom w:w="100" w:type="dxa"/>
              <w:end w:w="120" w:type="dxa"/>
            </w:tcMar>
            <w:vAlign w:val="center"/>
            <w:shd w:fill="EAF4F4"/>
          </w:tcPr>
          <w:p>
            <w:pPr>
              <w:jc w:val="left"/>
            </w:pPr>
            <w:r>
              <w:rPr>
                <w:rFonts w:ascii="Calibri" w:hAnsi="Calibri"/>
                <w:b/>
                <w:i w:val="0"/>
                <w:color w:val="071B2B"/>
                <w:sz w:val="19"/>
              </w:rPr>
              <w:t>Uso</w:t>
            </w:r>
          </w:p>
        </w:tc>
        <w:tc>
          <w:tcPr>
            <w:tcW w:type="dxa" w:w="1100"/>
            <w:tcMar>
              <w:top w:w="100" w:type="dxa"/>
              <w:start w:w="120" w:type="dxa"/>
              <w:bottom w:w="100" w:type="dxa"/>
              <w:end w:w="120" w:type="dxa"/>
            </w:tcMar>
            <w:vAlign w:val="center"/>
            <w:shd w:fill="EAF4F4"/>
          </w:tcPr>
          <w:p>
            <w:pPr>
              <w:jc w:val="center"/>
            </w:pPr>
            <w:r>
              <w:rPr>
                <w:rFonts w:ascii="Calibri" w:hAnsi="Calibri"/>
                <w:b/>
                <w:i w:val="0"/>
                <w:color w:val="071B2B"/>
                <w:sz w:val="19"/>
              </w:rPr>
              <w:t>Porción</w:t>
            </w:r>
          </w:p>
        </w:tc>
        <w:tc>
          <w:tcPr>
            <w:tcW w:type="dxa" w:w="5660"/>
            <w:tcMar>
              <w:top w:w="100" w:type="dxa"/>
              <w:start w:w="120" w:type="dxa"/>
              <w:bottom w:w="100" w:type="dxa"/>
              <w:end w:w="120" w:type="dxa"/>
            </w:tcMar>
            <w:vAlign w:val="center"/>
            <w:shd w:fill="EAF4F4"/>
          </w:tcPr>
          <w:p>
            <w:pPr>
              <w:jc w:val="left"/>
            </w:pPr>
            <w:r>
              <w:rPr>
                <w:rFonts w:ascii="Calibri" w:hAnsi="Calibri"/>
                <w:b/>
                <w:i w:val="0"/>
                <w:color w:val="071B2B"/>
                <w:sz w:val="19"/>
              </w:rPr>
              <w:t>Propósito</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Producto y tecnología</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32%</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MVP, portal de proveedores, pagos y seguridad operativa.</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Ventas y alianzas</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20%</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Distribución con clínicas, hoteles, asistencias y empresas.</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Legal, cumplimiento y auditoría</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18%</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Estructura corporativa, contratos, KYC/AML y revisión independiente.</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Operación y soporte</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17%</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Coordinación bilingüe, conciliación e incorporación de proveedores.</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Marketing piloto</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8%</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Pruebas controladas de adquisición en los corredores iniciales.</w:t>
            </w:r>
          </w:p>
        </w:tc>
      </w:tr>
      <w:tr>
        <w:tc>
          <w:tcPr>
            <w:tcW w:type="dxa" w:w="2600"/>
            <w:tcMar>
              <w:top w:w="100" w:type="dxa"/>
              <w:start w:w="120" w:type="dxa"/>
              <w:bottom w:w="100" w:type="dxa"/>
              <w:end w:w="120" w:type="dxa"/>
            </w:tcMar>
            <w:vAlign w:val="center"/>
          </w:tcPr>
          <w:p>
            <w:pPr>
              <w:spacing w:after="0"/>
              <w:jc w:val="left"/>
            </w:pPr>
            <w:r>
              <w:rPr>
                <w:rFonts w:ascii="Calibri" w:hAnsi="Calibri"/>
                <w:b w:val="0"/>
                <w:i w:val="0"/>
                <w:color w:val="263D49"/>
                <w:sz w:val="18"/>
              </w:rPr>
              <w:t>Contingencia</w:t>
            </w:r>
          </w:p>
        </w:tc>
        <w:tc>
          <w:tcPr>
            <w:tcW w:type="dxa" w:w="1100"/>
            <w:tcMar>
              <w:top w:w="100" w:type="dxa"/>
              <w:start w:w="120" w:type="dxa"/>
              <w:bottom w:w="100" w:type="dxa"/>
              <w:end w:w="120" w:type="dxa"/>
            </w:tcMar>
            <w:vAlign w:val="center"/>
          </w:tcPr>
          <w:p>
            <w:pPr>
              <w:spacing w:after="0"/>
              <w:jc w:val="center"/>
            </w:pPr>
            <w:r>
              <w:rPr>
                <w:rFonts w:ascii="Calibri" w:hAnsi="Calibri"/>
                <w:b w:val="0"/>
                <w:i w:val="0"/>
                <w:color w:val="263D49"/>
                <w:sz w:val="18"/>
              </w:rPr>
              <w:t>5%</w:t>
            </w:r>
          </w:p>
        </w:tc>
        <w:tc>
          <w:tcPr>
            <w:tcW w:type="dxa" w:w="5660"/>
            <w:tcMar>
              <w:top w:w="100" w:type="dxa"/>
              <w:start w:w="120" w:type="dxa"/>
              <w:bottom w:w="100" w:type="dxa"/>
              <w:end w:w="120" w:type="dxa"/>
            </w:tcMar>
            <w:vAlign w:val="center"/>
          </w:tcPr>
          <w:p>
            <w:pPr>
              <w:spacing w:after="0"/>
              <w:jc w:val="left"/>
            </w:pPr>
            <w:r>
              <w:rPr>
                <w:rFonts w:ascii="Calibri" w:hAnsi="Calibri"/>
                <w:b w:val="0"/>
                <w:i w:val="0"/>
                <w:color w:val="263D49"/>
                <w:sz w:val="18"/>
              </w:rPr>
              <w:t>Costos imprevistos aprobados y protección del runway.</w:t>
            </w:r>
          </w:p>
        </w:tc>
      </w:tr>
    </w:tbl>
    <w:p>
      <w:pPr>
        <w:pStyle w:val="Heading2"/>
        <w:keepNext/>
      </w:pPr>
      <w:r>
        <w:t>7. Reportes y contenido del data room</w:t>
      </w:r>
    </w:p>
    <w:p>
      <w:pPr>
        <w:spacing w:after="80" w:line="300" w:lineRule="auto"/>
        <w:numPr>
          <w:ilvl w:val="0"/>
          <w:numId w:val="10"/>
        </w:numPr>
      </w:pPr>
      <w:r>
        <w:rPr>
          <w:rFonts w:ascii="Calibri" w:hAnsi="Calibri"/>
          <w:b w:val="0"/>
          <w:i w:val="0"/>
          <w:color w:val="263D49"/>
          <w:sz w:val="21"/>
        </w:rPr>
        <w:t>Documentos de constitución y registros de propiedad.</w:t>
      </w:r>
    </w:p>
    <w:p>
      <w:pPr>
        <w:spacing w:after="80" w:line="300" w:lineRule="auto"/>
        <w:numPr>
          <w:ilvl w:val="0"/>
          <w:numId w:val="10"/>
        </w:numPr>
      </w:pPr>
      <w:r>
        <w:rPr>
          <w:rFonts w:ascii="Calibri" w:hAnsi="Calibri"/>
          <w:b w:val="0"/>
          <w:i w:val="0"/>
          <w:color w:val="263D49"/>
          <w:sz w:val="21"/>
        </w:rPr>
        <w:t>Contrato definitivo de inversión y cualquier token warrant o side letter.</w:t>
      </w:r>
    </w:p>
    <w:p>
      <w:pPr>
        <w:spacing w:after="80" w:line="300" w:lineRule="auto"/>
        <w:numPr>
          <w:ilvl w:val="0"/>
          <w:numId w:val="10"/>
        </w:numPr>
      </w:pPr>
      <w:r>
        <w:rPr>
          <w:rFonts w:ascii="Calibri" w:hAnsi="Calibri"/>
          <w:b w:val="0"/>
          <w:i w:val="0"/>
          <w:color w:val="263D49"/>
          <w:sz w:val="21"/>
        </w:rPr>
        <w:t>Modelo financiero vigente, uso de fondos y supuestos de runway.</w:t>
      </w:r>
    </w:p>
    <w:p>
      <w:pPr>
        <w:spacing w:after="80" w:line="300" w:lineRule="auto"/>
        <w:numPr>
          <w:ilvl w:val="0"/>
          <w:numId w:val="10"/>
        </w:numPr>
      </w:pPr>
      <w:r>
        <w:rPr>
          <w:rFonts w:ascii="Calibri" w:hAnsi="Calibri"/>
          <w:b w:val="0"/>
          <w:i w:val="0"/>
          <w:color w:val="263D49"/>
          <w:sz w:val="21"/>
        </w:rPr>
        <w:t>Direcciones de tesorería, evidencia de oferta del token y cambios materiales de autoridad.</w:t>
      </w:r>
    </w:p>
    <w:p>
      <w:pPr>
        <w:spacing w:after="80" w:line="300" w:lineRule="auto"/>
        <w:numPr>
          <w:ilvl w:val="0"/>
          <w:numId w:val="10"/>
        </w:numPr>
      </w:pPr>
      <w:r>
        <w:rPr>
          <w:rFonts w:ascii="Calibri" w:hAnsi="Calibri"/>
          <w:b w:val="0"/>
          <w:i w:val="0"/>
          <w:color w:val="263D49"/>
          <w:sz w:val="21"/>
        </w:rPr>
        <w:t>Cartas de intención de clínicas, estado del aliado de pagos y acuerdos comerciales materiales, sujetos a confidencialidad.</w:t>
      </w:r>
    </w:p>
    <w:p>
      <w:pPr>
        <w:spacing w:after="80" w:line="300" w:lineRule="auto"/>
        <w:numPr>
          <w:ilvl w:val="0"/>
          <w:numId w:val="10"/>
        </w:numPr>
      </w:pPr>
      <w:r>
        <w:rPr>
          <w:rFonts w:ascii="Calibri" w:hAnsi="Calibri"/>
          <w:b w:val="0"/>
          <w:i w:val="0"/>
          <w:color w:val="263D49"/>
          <w:sz w:val="21"/>
        </w:rPr>
        <w:t>Actualizaciones trimestrales, avisos de incidentes y plan anual.</w:t>
      </w:r>
    </w:p>
    <w:p>
      <w:pPr>
        <w:spacing w:before="140" w:after="200" w:line="276" w:lineRule="auto"/>
        <w:ind w:left="216" w:right="115"/>
        <w:shd w:fill="EAF4F4"/>
        <w:pBdr>
          <w:left w:val="single" w:sz="18" w:space="12" w:color="4CC9C0"/>
        </w:pBdr>
      </w:pPr>
      <w:r>
        <w:rPr>
          <w:rFonts w:ascii="Calibri" w:hAnsi="Calibri"/>
          <w:b/>
          <w:i w:val="0"/>
          <w:color w:val="263D49"/>
          <w:sz w:val="21"/>
        </w:rPr>
        <w:t xml:space="preserve">Protección del inversionista: </w:t>
      </w:r>
      <w:r>
        <w:rPr>
          <w:rFonts w:ascii="Calibri" w:hAnsi="Calibri"/>
          <w:b w:val="0"/>
          <w:i w:val="0"/>
          <w:color w:val="263D49"/>
          <w:sz w:val="21"/>
        </w:rPr>
        <w:t>El instrumento legal firmado - no este sitio ni este marco - determinará los derechos exigibles.</w:t>
      </w:r>
    </w:p>
    <w:p>
      <w:pPr>
        <w:pStyle w:val="Heading2"/>
        <w:keepNext/>
      </w:pPr>
      <w:r>
        <w:t>8. Divulgación de riesgos</w:t>
      </w:r>
    </w:p>
    <w:p>
      <w:pPr>
        <w:spacing w:after="80" w:line="300" w:lineRule="auto"/>
        <w:numPr>
          <w:ilvl w:val="0"/>
          <w:numId w:val="10"/>
        </w:numPr>
      </w:pPr>
      <w:r>
        <w:rPr>
          <w:rFonts w:ascii="Calibri" w:hAnsi="Calibri"/>
          <w:b w:val="0"/>
          <w:i w:val="0"/>
          <w:color w:val="263D49"/>
          <w:sz w:val="21"/>
        </w:rPr>
        <w:t>Riesgo de ejecución de etapa temprana, historial operativo limitado y dependencia de alianzas futuras.</w:t>
      </w:r>
    </w:p>
    <w:p>
      <w:pPr>
        <w:spacing w:after="80" w:line="300" w:lineRule="auto"/>
        <w:numPr>
          <w:ilvl w:val="0"/>
          <w:numId w:val="10"/>
        </w:numPr>
      </w:pPr>
      <w:r>
        <w:rPr>
          <w:rFonts w:ascii="Calibri" w:hAnsi="Calibri"/>
          <w:b w:val="0"/>
          <w:i w:val="0"/>
          <w:color w:val="263D49"/>
          <w:sz w:val="21"/>
        </w:rPr>
        <w:t>Incertidumbre regulatoria en valores, salud, datos, pagos, impuestos y prevención de legitimación de capitales.</w:t>
      </w:r>
    </w:p>
    <w:p>
      <w:pPr>
        <w:spacing w:after="80" w:line="300" w:lineRule="auto"/>
        <w:numPr>
          <w:ilvl w:val="0"/>
          <w:numId w:val="10"/>
        </w:numPr>
      </w:pPr>
      <w:r>
        <w:rPr>
          <w:rFonts w:ascii="Calibri" w:hAnsi="Calibri"/>
          <w:b w:val="0"/>
          <w:i w:val="0"/>
          <w:color w:val="263D49"/>
          <w:sz w:val="21"/>
        </w:rPr>
        <w:t>Riesgos de blockchain, billeteras, custodia, contratos inteligentes, ciberseguridad y gestión de llaves.</w:t>
      </w:r>
    </w:p>
    <w:p>
      <w:pPr>
        <w:spacing w:after="80" w:line="300" w:lineRule="auto"/>
        <w:numPr>
          <w:ilvl w:val="0"/>
          <w:numId w:val="10"/>
        </w:numPr>
      </w:pPr>
      <w:r>
        <w:rPr>
          <w:rFonts w:ascii="Calibri" w:hAnsi="Calibri"/>
          <w:b w:val="0"/>
          <w:i w:val="0"/>
          <w:color w:val="263D49"/>
          <w:sz w:val="21"/>
        </w:rPr>
        <w:t>Volatilidad del token y posible ausencia de un mercado líquido.</w:t>
      </w:r>
    </w:p>
    <w:p>
      <w:pPr>
        <w:spacing w:after="80" w:line="300" w:lineRule="auto"/>
        <w:numPr>
          <w:ilvl w:val="0"/>
          <w:numId w:val="10"/>
        </w:numPr>
      </w:pPr>
      <w:r>
        <w:rPr>
          <w:rFonts w:ascii="Calibri" w:hAnsi="Calibri"/>
          <w:b w:val="0"/>
          <w:i w:val="0"/>
          <w:color w:val="263D49"/>
          <w:sz w:val="21"/>
        </w:rPr>
        <w:t>No existe garantía de cotización, adopción de utilidad, dividendos, redención ni recuperación del capital.</w:t>
      </w:r>
    </w:p>
    <w:p>
      <w:pPr>
        <w:spacing w:after="80" w:line="300" w:lineRule="auto"/>
        <w:numPr>
          <w:ilvl w:val="0"/>
          <w:numId w:val="10"/>
        </w:numPr>
      </w:pPr>
      <w:r>
        <w:rPr>
          <w:rFonts w:ascii="Calibri" w:hAnsi="Calibri"/>
          <w:b w:val="0"/>
          <w:i w:val="0"/>
          <w:color w:val="263D49"/>
          <w:sz w:val="21"/>
        </w:rPr>
        <w:t>Posibles conflictos de interés y dependencia de una persona clave mientras el proyecto tenga un solo fundador.</w:t>
      </w:r>
    </w:p>
    <w:p>
      <w:pPr>
        <w:pStyle w:val="Heading2"/>
        <w:keepNext/>
      </w:pPr>
      <w:r>
        <w:t>9. Comunicaciones y protocolo antifraude</w:t>
      </w:r>
    </w:p>
    <w:p>
      <w:pPr>
        <w:spacing w:after="80" w:line="300" w:lineRule="auto"/>
        <w:numPr>
          <w:ilvl w:val="0"/>
          <w:numId w:val="10"/>
        </w:numPr>
      </w:pPr>
      <w:r>
        <w:rPr>
          <w:rFonts w:ascii="Calibri" w:hAnsi="Calibri"/>
          <w:b w:val="0"/>
          <w:i w:val="0"/>
          <w:color w:val="263D49"/>
          <w:sz w:val="21"/>
        </w:rPr>
        <w:t>El sitio público es la fuente oficial para direcciones y documentos.</w:t>
      </w:r>
    </w:p>
    <w:p>
      <w:pPr>
        <w:spacing w:after="80" w:line="300" w:lineRule="auto"/>
        <w:numPr>
          <w:ilvl w:val="0"/>
          <w:numId w:val="10"/>
        </w:numPr>
      </w:pPr>
      <w:r>
        <w:rPr>
          <w:rFonts w:ascii="Calibri" w:hAnsi="Calibri"/>
          <w:b w:val="0"/>
          <w:i w:val="0"/>
          <w:color w:val="263D49"/>
          <w:sz w:val="21"/>
        </w:rPr>
        <w:t>El bot administrativo de alertas no es un canal de solicitud de inversiones ni de fondeo.</w:t>
      </w:r>
    </w:p>
    <w:p>
      <w:pPr>
        <w:spacing w:after="80" w:line="300" w:lineRule="auto"/>
        <w:numPr>
          <w:ilvl w:val="0"/>
          <w:numId w:val="10"/>
        </w:numPr>
      </w:pPr>
      <w:r>
        <w:rPr>
          <w:rFonts w:ascii="Calibri" w:hAnsi="Calibri"/>
          <w:b w:val="0"/>
          <w:i w:val="0"/>
          <w:color w:val="263D49"/>
          <w:sz w:val="21"/>
        </w:rPr>
        <w:t>Todo canal público de anuncios debe enlazar al sitio oficial y fijar una advertencia antifraude.</w:t>
      </w:r>
    </w:p>
    <w:p>
      <w:pPr>
        <w:spacing w:after="80" w:line="300" w:lineRule="auto"/>
        <w:numPr>
          <w:ilvl w:val="0"/>
          <w:numId w:val="10"/>
        </w:numPr>
      </w:pPr>
      <w:r>
        <w:rPr>
          <w:rFonts w:ascii="Calibri" w:hAnsi="Calibri"/>
          <w:b w:val="0"/>
          <w:i w:val="0"/>
          <w:color w:val="263D49"/>
          <w:sz w:val="21"/>
        </w:rPr>
        <w:t>Las instrucciones de fondeo se entregan únicamente después de KYC y contratos firmados; CriptoSalud no solicita transferencias mediante mensajes directos no solicitados.</w:t>
      </w:r>
    </w:p>
    <w:p>
      <w:pPr>
        <w:spacing w:after="80" w:line="300" w:lineRule="auto"/>
        <w:numPr>
          <w:ilvl w:val="0"/>
          <w:numId w:val="10"/>
        </w:numPr>
      </w:pPr>
      <w:r>
        <w:rPr>
          <w:rFonts w:ascii="Calibri" w:hAnsi="Calibri"/>
          <w:b w:val="0"/>
          <w:i w:val="0"/>
          <w:color w:val="263D49"/>
          <w:sz w:val="21"/>
        </w:rPr>
        <w:t>Todo cambio de tesorería o dirección del token debe anunciarse en al menos dos canales oficiales y reflejarse en el data room.</w:t>
      </w:r>
    </w:p>
    <w:p>
      <w:pPr>
        <w:pStyle w:val="Heading2"/>
        <w:keepNext/>
      </w:pPr>
      <w:r>
        <w:t>10. Materias reservadas para contratos definitivos</w:t>
      </w:r>
    </w:p>
    <w:p>
      <w:pPr>
        <w:spacing w:after="80" w:line="300" w:lineRule="auto"/>
        <w:numPr>
          <w:ilvl w:val="0"/>
          <w:numId w:val="10"/>
        </w:numPr>
      </w:pPr>
      <w:r>
        <w:rPr>
          <w:rFonts w:ascii="Calibri" w:hAnsi="Calibri"/>
          <w:b w:val="0"/>
          <w:i w:val="0"/>
          <w:color w:val="263D49"/>
          <w:sz w:val="21"/>
        </w:rPr>
        <w:t>Entidad legal, jurisdicción, ley aplicable y mecanismo de resolución de disputas.</w:t>
      </w:r>
    </w:p>
    <w:p>
      <w:pPr>
        <w:spacing w:after="80" w:line="300" w:lineRule="auto"/>
        <w:numPr>
          <w:ilvl w:val="0"/>
          <w:numId w:val="10"/>
        </w:numPr>
      </w:pPr>
      <w:r>
        <w:rPr>
          <w:rFonts w:ascii="Calibri" w:hAnsi="Calibri"/>
          <w:b w:val="0"/>
          <w:i w:val="0"/>
          <w:color w:val="263D49"/>
          <w:sz w:val="21"/>
        </w:rPr>
        <w:t>Monto, valoración o cap, clase de valor, condiciones de cierre y capitalización.</w:t>
      </w:r>
    </w:p>
    <w:p>
      <w:pPr>
        <w:spacing w:after="80" w:line="300" w:lineRule="auto"/>
        <w:numPr>
          <w:ilvl w:val="0"/>
          <w:numId w:val="10"/>
        </w:numPr>
      </w:pPr>
      <w:r>
        <w:rPr>
          <w:rFonts w:ascii="Calibri" w:hAnsi="Calibri"/>
          <w:b w:val="0"/>
          <w:i w:val="0"/>
          <w:color w:val="263D49"/>
          <w:sz w:val="21"/>
        </w:rPr>
        <w:t>Derechos exactos, umbrales, paquete informativo y confidencialidad.</w:t>
      </w:r>
    </w:p>
    <w:p>
      <w:pPr>
        <w:spacing w:after="80" w:line="300" w:lineRule="auto"/>
        <w:numPr>
          <w:ilvl w:val="0"/>
          <w:numId w:val="10"/>
        </w:numPr>
      </w:pPr>
      <w:r>
        <w:rPr>
          <w:rFonts w:ascii="Calibri" w:hAnsi="Calibri"/>
          <w:b w:val="0"/>
          <w:i w:val="0"/>
          <w:color w:val="263D49"/>
          <w:sz w:val="21"/>
        </w:rPr>
        <w:t>Economía del token warrant, tratamiento fiscal, inicio del vesting, límites de transferencia y declaraciones de cumplimiento.</w:t>
      </w:r>
    </w:p>
    <w:p>
      <w:pPr>
        <w:spacing w:after="80" w:line="300" w:lineRule="auto"/>
        <w:numPr>
          <w:ilvl w:val="0"/>
          <w:numId w:val="10"/>
        </w:numPr>
      </w:pPr>
      <w:r>
        <w:rPr>
          <w:rFonts w:ascii="Calibri" w:hAnsi="Calibri"/>
          <w:b w:val="0"/>
          <w:i w:val="0"/>
          <w:color w:val="263D49"/>
          <w:sz w:val="21"/>
        </w:rPr>
        <w:t>Declaraciones, garantías, indemnizaciones, terminación y bloques de firma.</w:t>
      </w:r>
    </w:p>
    <w:p>
      <w:pPr>
        <w:pStyle w:val="Heading2"/>
        <w:keepNext/>
      </w:pPr>
      <w:r>
        <w:t>Fuentes y notas de revisión</w:t>
      </w:r>
    </w:p>
    <w:p>
      <w:pPr>
        <w:spacing w:after="80" w:line="300" w:lineRule="auto"/>
        <w:numPr>
          <w:ilvl w:val="0"/>
          <w:numId w:val="10"/>
        </w:numPr>
      </w:pPr>
      <w:r>
        <w:rPr>
          <w:rFonts w:ascii="Calibri" w:hAnsi="Calibri"/>
          <w:b w:val="0"/>
          <w:i w:val="0"/>
          <w:color w:val="263D49"/>
          <w:sz w:val="21"/>
        </w:rPr>
        <w:t>SUGEVAL, Reglamento sobre Oferta Pública de Valores (current version should be confirmed by counsel): https://www.sugeval.fi.cr/</w:t>
      </w:r>
    </w:p>
    <w:p>
      <w:pPr>
        <w:spacing w:after="80" w:line="300" w:lineRule="auto"/>
        <w:numPr>
          <w:ilvl w:val="0"/>
          <w:numId w:val="10"/>
        </w:numPr>
      </w:pPr>
      <w:r>
        <w:rPr>
          <w:rFonts w:ascii="Calibri" w:hAnsi="Calibri"/>
          <w:b w:val="0"/>
          <w:i w:val="0"/>
          <w:color w:val="263D49"/>
          <w:sz w:val="21"/>
        </w:rPr>
        <w:t>U.S. SEC, Framework for Investment Contract Analysis of Digital Assets: https://www.sec.gov/</w:t>
      </w:r>
    </w:p>
    <w:p>
      <w:pPr>
        <w:spacing w:after="80" w:line="300" w:lineRule="auto"/>
        <w:numPr>
          <w:ilvl w:val="0"/>
          <w:numId w:val="10"/>
        </w:numPr>
      </w:pPr>
      <w:r>
        <w:rPr>
          <w:rFonts w:ascii="Calibri" w:hAnsi="Calibri"/>
          <w:b w:val="0"/>
          <w:i w:val="0"/>
          <w:color w:val="263D49"/>
          <w:sz w:val="21"/>
        </w:rPr>
        <w:t>Solana SPL Token documentation: https://spl.solana.com/token</w:t>
      </w:r>
    </w:p>
    <w:sectPr w:rsidR="00FC693F" w:rsidRPr="0006063C" w:rsidSect="00034616">
      <w:headerReference w:type="default" r:id="rId9"/>
      <w:footerReference w:type="default" r:id="rId10"/>
      <w:pgSz w:w="12240" w:h="15840"/>
      <w:pgMar w:top="1152" w:right="1440" w:bottom="1152"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b w:val="0"/>
        <w:i w:val="0"/>
        <w:color w:val="617984"/>
        <w:sz w:val="17"/>
      </w:rPr>
      <w:t xml:space="preserve">CriptoSalud Costa Rica  |  July 2026  |  </w:t>
    </w:r>
    <w:r>
      <w:rPr>
        <w:rFonts w:ascii="Calibri" w:hAnsi="Calibri"/>
        <w:b w:val="0"/>
        <w:i w:val="0"/>
        <w:color w:val="617984"/>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i w:val="0"/>
        <w:color w:val="617984"/>
        <w:sz w:val="17"/>
      </w:rPr>
      <w:t>CRIPTOSALUD  |  INVESTOR FRAMEWORK  |  DISCUSSION DRAFT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color w:val="087F78"/>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63D4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Calibri" w:hAnsi="Calibri"/>
      <w:b/>
      <w:bCs/>
      <w:color w:val="071B2B"/>
      <w:sz w:val="32"/>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Calibri" w:hAnsi="Calibri"/>
      <w:b/>
      <w:bCs/>
      <w:color w:val="087F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0A354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CriptoSalud Investor Rights and Token Allocation Framework</dc:title>
  <dc:subject>Non-binding bilingual investor diligence framework</dc:subject>
  <dc:creator>CriptoSalud Costa Rica</dc:creator>
  <cp:keywords>CriptoSalud, SALUD, investor rights, token allocation, Costa Rica</cp:keywords>
  <dc:description>Discussion draft; subject to independent legal review.</dc:description>
  <cp:lastModifiedBy/>
  <cp:revision>1</cp:revision>
  <dcterms:created xsi:type="dcterms:W3CDTF">2013-12-23T23:15:00Z</dcterms:created>
  <dcterms:modified xsi:type="dcterms:W3CDTF">2013-12-23T23:15:00Z</dcterms:modified>
  <cp:category/>
</cp:coreProperties>
</file>